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Programme: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Saturday 23</w:t>
      </w:r>
      <w:r>
        <w:rPr>
          <w:rStyle w:val="Strong"/>
          <w:rFonts w:ascii="myriadpro-regular" w:hAnsi="myriadpro-regular"/>
          <w:color w:val="333333"/>
          <w:sz w:val="16"/>
          <w:szCs w:val="16"/>
          <w:vertAlign w:val="superscript"/>
        </w:rPr>
        <w:t>rd</w:t>
      </w:r>
      <w:r>
        <w:rPr>
          <w:rStyle w:val="Strong"/>
          <w:rFonts w:ascii="myriadpro-regular" w:hAnsi="myriadpro-regular"/>
          <w:color w:val="333333"/>
          <w:sz w:val="21"/>
          <w:szCs w:val="21"/>
        </w:rPr>
        <w:t> October (all times Australian Eastern Daylight time)</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0900-0930: Plenary. Bone physiology across the lifespan: Prof. Natalie Sims. Head, Bone Cell Biology and Disease Unit. Deputy Director, SVI.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Professor Sims directs the Bone Cell Biology and Disease Unit at St. Vincent’s Institute of Medical Research and is a Professorial Fellow at The University of Melbourne. Her laboratory studies the cellular interactions responsible for development, maintenance, and strength of the skeleton, and has defined the roles of key pathways, including the IL-6 family of cytokines, in bone by using genetically altered mouse models and in vitro systems. Her work has been recognised by the International Bone and Mineral Society Herbert </w:t>
      </w:r>
      <w:proofErr w:type="gramStart"/>
      <w:r>
        <w:rPr>
          <w:rFonts w:ascii="myriadpro-regular" w:hAnsi="myriadpro-regular"/>
          <w:color w:val="333333"/>
          <w:sz w:val="21"/>
          <w:szCs w:val="21"/>
        </w:rPr>
        <w:t>A</w:t>
      </w:r>
      <w:proofErr w:type="gramEnd"/>
      <w:r>
        <w:rPr>
          <w:rFonts w:ascii="myriadpro-regular" w:hAnsi="myriadpro-regular"/>
          <w:color w:val="333333"/>
          <w:sz w:val="21"/>
          <w:szCs w:val="21"/>
        </w:rPr>
        <w:t xml:space="preserve"> </w:t>
      </w:r>
      <w:proofErr w:type="spellStart"/>
      <w:r>
        <w:rPr>
          <w:rFonts w:ascii="myriadpro-regular" w:hAnsi="myriadpro-regular"/>
          <w:color w:val="333333"/>
          <w:sz w:val="21"/>
          <w:szCs w:val="21"/>
        </w:rPr>
        <w:t>Fleisch</w:t>
      </w:r>
      <w:proofErr w:type="spellEnd"/>
      <w:r>
        <w:rPr>
          <w:rFonts w:ascii="myriadpro-regular" w:hAnsi="myriadpro-regular"/>
          <w:color w:val="333333"/>
          <w:sz w:val="21"/>
          <w:szCs w:val="21"/>
        </w:rPr>
        <w:t xml:space="preserve"> Award (2013) and the American Society of Bone and Mineral Research Fuller Albright Award (2010) and Paula Stern Award (2020). She is an Associate Editor of the Journal of Bone and Mineral Research, an Associate Editor at Endocrine Reviews, and serves on the Editorial Board of the Journal of Biological Chemistry. She is a Fellow of the American Society of Bone and Mineral Research and President of the Australia and New Zealand Bone and Mineral Society.</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xml:space="preserve">0930-1015: Case: Osteoporosis and osteopenia: evaluation and treatment: Prof. Jacqueline </w:t>
      </w:r>
      <w:proofErr w:type="spellStart"/>
      <w:r>
        <w:rPr>
          <w:rStyle w:val="Strong"/>
          <w:rFonts w:ascii="myriadpro-regular" w:hAnsi="myriadpro-regular"/>
          <w:color w:val="333333"/>
          <w:sz w:val="21"/>
          <w:szCs w:val="21"/>
        </w:rPr>
        <w:t>Center</w:t>
      </w:r>
      <w:proofErr w:type="spellEnd"/>
      <w:r>
        <w:rPr>
          <w:rStyle w:val="Strong"/>
          <w:rFonts w:ascii="myriadpro-regular" w:hAnsi="myriadpro-regular"/>
          <w:color w:val="333333"/>
          <w:sz w:val="21"/>
          <w:szCs w:val="21"/>
        </w:rPr>
        <w:t xml:space="preserve">. St. Vincent’s Hospital Sydney, and the </w:t>
      </w:r>
      <w:proofErr w:type="spellStart"/>
      <w:r>
        <w:rPr>
          <w:rStyle w:val="Strong"/>
          <w:rFonts w:ascii="myriadpro-regular" w:hAnsi="myriadpro-regular"/>
          <w:color w:val="333333"/>
          <w:sz w:val="21"/>
          <w:szCs w:val="21"/>
        </w:rPr>
        <w:t>Garvan</w:t>
      </w:r>
      <w:proofErr w:type="spellEnd"/>
      <w:r>
        <w:rPr>
          <w:rStyle w:val="Strong"/>
          <w:rFonts w:ascii="myriadpro-regular" w:hAnsi="myriadpro-regular"/>
          <w:color w:val="333333"/>
          <w:sz w:val="21"/>
          <w:szCs w:val="21"/>
        </w:rPr>
        <w:t xml:space="preserve"> Institute of Medical Research.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Prof Jacqueline </w:t>
      </w:r>
      <w:proofErr w:type="spellStart"/>
      <w:r>
        <w:rPr>
          <w:rFonts w:ascii="myriadpro-regular" w:hAnsi="myriadpro-regular"/>
          <w:color w:val="333333"/>
          <w:sz w:val="21"/>
          <w:szCs w:val="21"/>
        </w:rPr>
        <w:t>Center</w:t>
      </w:r>
      <w:proofErr w:type="spellEnd"/>
      <w:r>
        <w:rPr>
          <w:rFonts w:ascii="myriadpro-regular" w:hAnsi="myriadpro-regular"/>
          <w:color w:val="333333"/>
          <w:sz w:val="21"/>
          <w:szCs w:val="21"/>
        </w:rPr>
        <w:t xml:space="preserve"> qualified as an endocrinologist in 1993, obtained a Master of Epidemiology in 1995 and a PhD in 1999.  She is a Senior Staff Specialist Endocrinologist at St Vincent’s Hospital and leads the Clinical and Epidemiological Studies Group in the Bone Biology Division of the </w:t>
      </w:r>
      <w:proofErr w:type="spellStart"/>
      <w:r>
        <w:rPr>
          <w:rFonts w:ascii="myriadpro-regular" w:hAnsi="myriadpro-regular"/>
          <w:color w:val="333333"/>
          <w:sz w:val="21"/>
          <w:szCs w:val="21"/>
        </w:rPr>
        <w:t>Garvan</w:t>
      </w:r>
      <w:proofErr w:type="spellEnd"/>
      <w:r>
        <w:rPr>
          <w:rFonts w:ascii="myriadpro-regular" w:hAnsi="myriadpro-regular"/>
          <w:color w:val="333333"/>
          <w:sz w:val="21"/>
          <w:szCs w:val="21"/>
        </w:rPr>
        <w:t xml:space="preserve"> Institute of Medical Research, spending 50% of her time in clinical care and 50% in research.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She has been working on clinical and epidemiological studies related to osteoporotic fracture and its outcomes for over 20 years and has been one of the principle researchers in the Dubbo Osteoporosis Epidemiology Study, the longest running study of osteoporosis in men and women world-wide. She has pioneered work on consequences of fracture including the high risk of re-fracture and premature mortality and effect of anti-osteoporosis medication on mortality that has resulted in international collaborations throughout Europe, Canada and the US. She has co-authored over 160 publications in international journals. She is also passionate about improving clinical outcomes for people with osteoporosis and actively works to translate the research findings into clinical care.</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1015-1045: Interpretation of Bone Mineral Density, fracture risk calculators and absolute fracture risk: A. Prof. Nick Pocock, St. Vincent’s Hospital Sydney, and UNSW.</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Nicholas Pocock graduated in medicine from Sydney University in 1978. In 1987 he became a Fellow of the RACP and in 1989 gained his Doctorate in Medicine. He is a Senior Staff Specialist in the Department of Nuclear Medicine at St Vincent’s Hospital, Darlinghurst and Assoc Professor at the University NSW. Dr Pocock’s interests include the epidemiology and diagnosis of osteoporosis, and he has over 145 publications.  He has previously been a member of the Federal Department of Health advisory Committee which established osteoporosis as a National Health Priority in 2005, and more recently on the 2017 Bone Densitometry Working group advising on changes to Medicare.   He is currently a member of the ANZBMS, HBA and IOF scientific Advisory committees and the RANZCR Densitometry advisory Committee.</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1045-1130: Case: Atypical femur fractures: current insights and management strategies: Dr Hanh Nguyen. Department of Medicine, Monash University.</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Dr Hanh Nguyen is a postdoctoral Research Fellow in the Department of Medicine, School of Clinical Sciences at Monash University, and a Consultant Endocrinologist at Monash Health and Western Health. She is passionate about improving outcomes in osteoporosis and musculoskeletal </w:t>
      </w:r>
      <w:proofErr w:type="gramStart"/>
      <w:r>
        <w:rPr>
          <w:rFonts w:ascii="myriadpro-regular" w:hAnsi="myriadpro-regular"/>
          <w:color w:val="333333"/>
          <w:sz w:val="21"/>
          <w:szCs w:val="21"/>
        </w:rPr>
        <w:t xml:space="preserve">disorders, </w:t>
      </w:r>
      <w:r>
        <w:rPr>
          <w:rFonts w:ascii="myriadpro-regular" w:hAnsi="myriadpro-regular"/>
          <w:color w:val="333333"/>
          <w:sz w:val="21"/>
          <w:szCs w:val="21"/>
        </w:rPr>
        <w:lastRenderedPageBreak/>
        <w:t>and</w:t>
      </w:r>
      <w:proofErr w:type="gramEnd"/>
      <w:r>
        <w:rPr>
          <w:rFonts w:ascii="myriadpro-regular" w:hAnsi="myriadpro-regular"/>
          <w:color w:val="333333"/>
          <w:sz w:val="21"/>
          <w:szCs w:val="21"/>
        </w:rPr>
        <w:t xml:space="preserve"> completed her PhD on optimising the management of skeletal fragility in underserved populations.</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xml:space="preserve">1130-1215: Case: Dilemmas of the fracturing renal patient: Dr </w:t>
      </w:r>
      <w:proofErr w:type="spellStart"/>
      <w:r>
        <w:rPr>
          <w:rStyle w:val="Strong"/>
          <w:rFonts w:ascii="myriadpro-regular" w:hAnsi="myriadpro-regular"/>
          <w:color w:val="333333"/>
          <w:sz w:val="21"/>
          <w:szCs w:val="21"/>
        </w:rPr>
        <w:t>Jasna</w:t>
      </w:r>
      <w:proofErr w:type="spellEnd"/>
      <w:r>
        <w:rPr>
          <w:rStyle w:val="Strong"/>
          <w:rFonts w:ascii="myriadpro-regular" w:hAnsi="myriadpro-regular"/>
          <w:color w:val="333333"/>
          <w:sz w:val="21"/>
          <w:szCs w:val="21"/>
        </w:rPr>
        <w:t xml:space="preserve"> </w:t>
      </w:r>
      <w:proofErr w:type="spellStart"/>
      <w:r>
        <w:rPr>
          <w:rStyle w:val="Strong"/>
          <w:rFonts w:ascii="myriadpro-regular" w:hAnsi="myriadpro-regular"/>
          <w:color w:val="333333"/>
          <w:sz w:val="21"/>
          <w:szCs w:val="21"/>
        </w:rPr>
        <w:t>Aleksova</w:t>
      </w:r>
      <w:proofErr w:type="spellEnd"/>
      <w:r>
        <w:rPr>
          <w:rStyle w:val="Strong"/>
          <w:rFonts w:ascii="myriadpro-regular" w:hAnsi="myriadpro-regular"/>
          <w:color w:val="333333"/>
          <w:sz w:val="21"/>
          <w:szCs w:val="21"/>
        </w:rPr>
        <w:t>. Hudson Institute of Medical Research.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Dr. </w:t>
      </w:r>
      <w:proofErr w:type="spellStart"/>
      <w:r>
        <w:rPr>
          <w:rFonts w:ascii="myriadpro-regular" w:hAnsi="myriadpro-regular"/>
          <w:color w:val="333333"/>
          <w:sz w:val="21"/>
          <w:szCs w:val="21"/>
        </w:rPr>
        <w:t>Jasna</w:t>
      </w:r>
      <w:proofErr w:type="spellEnd"/>
      <w:r>
        <w:rPr>
          <w:rFonts w:ascii="myriadpro-regular" w:hAnsi="myriadpro-regular"/>
          <w:color w:val="333333"/>
          <w:sz w:val="21"/>
          <w:szCs w:val="21"/>
        </w:rPr>
        <w:t xml:space="preserve"> </w:t>
      </w:r>
      <w:proofErr w:type="spellStart"/>
      <w:r>
        <w:rPr>
          <w:rFonts w:ascii="myriadpro-regular" w:hAnsi="myriadpro-regular"/>
          <w:color w:val="333333"/>
          <w:sz w:val="21"/>
          <w:szCs w:val="21"/>
        </w:rPr>
        <w:t>Aleksova</w:t>
      </w:r>
      <w:proofErr w:type="spellEnd"/>
      <w:r>
        <w:rPr>
          <w:rFonts w:ascii="myriadpro-regular" w:hAnsi="myriadpro-regular"/>
          <w:color w:val="333333"/>
          <w:sz w:val="21"/>
          <w:szCs w:val="21"/>
        </w:rPr>
        <w:t xml:space="preserve"> is an endocrinologist and clinician researcher with her primary interests in metabolic bone disorders and osteoporosis. She completed her PhD with an NHMRC grant examining the role of novel risk factors and imaging tools to improve fracture prediction in patients with chronic kidney disease and renal transplantation.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She continues her research interests in CKD as a research fellow at Monash University and adjunct fellow at the Hudson Institute through competitive grants and fellowships and has been the recipient of numerous national and international awards including the ASBMR young investigator award. She has been on the editorial board for the ESA’s primary journal </w:t>
      </w:r>
      <w:r>
        <w:rPr>
          <w:rStyle w:val="Emphasis"/>
          <w:rFonts w:ascii="myriadpro-regular" w:hAnsi="myriadpro-regular"/>
          <w:color w:val="333333"/>
          <w:sz w:val="21"/>
          <w:szCs w:val="21"/>
        </w:rPr>
        <w:t>Clinical Endocrinology </w:t>
      </w:r>
      <w:r>
        <w:rPr>
          <w:rFonts w:ascii="myriadpro-regular" w:hAnsi="myriadpro-regular"/>
          <w:color w:val="333333"/>
          <w:sz w:val="21"/>
          <w:szCs w:val="21"/>
        </w:rPr>
        <w:t>and was the inaugural clinical representative of the ANZBMS Early Career Investigator Committee. As a practising endocrinologist she works in the metabolic bone clinics at Monash Health and St Vincent’s Health, convening her clinical and research endeavours.</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xml:space="preserve">1215-1245: Stopping osteoporosis therapy: Prof. John </w:t>
      </w:r>
      <w:proofErr w:type="spellStart"/>
      <w:r>
        <w:rPr>
          <w:rStyle w:val="Strong"/>
          <w:rFonts w:ascii="myriadpro-regular" w:hAnsi="myriadpro-regular"/>
          <w:color w:val="333333"/>
          <w:sz w:val="21"/>
          <w:szCs w:val="21"/>
        </w:rPr>
        <w:t>Eisman</w:t>
      </w:r>
      <w:proofErr w:type="spellEnd"/>
      <w:r>
        <w:rPr>
          <w:rStyle w:val="Strong"/>
          <w:rFonts w:ascii="myriadpro-regular" w:hAnsi="myriadpro-regular"/>
          <w:color w:val="333333"/>
          <w:sz w:val="21"/>
          <w:szCs w:val="21"/>
        </w:rPr>
        <w:t xml:space="preserve">. St. Vincent’s Hospital Sydney, and the </w:t>
      </w:r>
      <w:proofErr w:type="spellStart"/>
      <w:r>
        <w:rPr>
          <w:rStyle w:val="Strong"/>
          <w:rFonts w:ascii="myriadpro-regular" w:hAnsi="myriadpro-regular"/>
          <w:color w:val="333333"/>
          <w:sz w:val="21"/>
          <w:szCs w:val="21"/>
        </w:rPr>
        <w:t>Garvan</w:t>
      </w:r>
      <w:proofErr w:type="spellEnd"/>
      <w:r>
        <w:rPr>
          <w:rStyle w:val="Strong"/>
          <w:rFonts w:ascii="myriadpro-regular" w:hAnsi="myriadpro-regular"/>
          <w:color w:val="333333"/>
          <w:sz w:val="21"/>
          <w:szCs w:val="21"/>
        </w:rPr>
        <w:t xml:space="preserve"> Institute of Medical Research.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John </w:t>
      </w:r>
      <w:proofErr w:type="spellStart"/>
      <w:r>
        <w:rPr>
          <w:rFonts w:ascii="myriadpro-regular" w:hAnsi="myriadpro-regular"/>
          <w:color w:val="333333"/>
          <w:sz w:val="21"/>
          <w:szCs w:val="21"/>
        </w:rPr>
        <w:t>Eisman</w:t>
      </w:r>
      <w:proofErr w:type="spellEnd"/>
      <w:r>
        <w:rPr>
          <w:rFonts w:ascii="myriadpro-regular" w:hAnsi="myriadpro-regular"/>
          <w:color w:val="333333"/>
          <w:sz w:val="21"/>
          <w:szCs w:val="21"/>
        </w:rPr>
        <w:t xml:space="preserve"> is an Endocrinologist with 40 </w:t>
      </w:r>
      <w:proofErr w:type="spellStart"/>
      <w:r>
        <w:rPr>
          <w:rFonts w:ascii="myriadpro-regular" w:hAnsi="myriadpro-regular"/>
          <w:color w:val="333333"/>
          <w:sz w:val="21"/>
          <w:szCs w:val="21"/>
        </w:rPr>
        <w:t>years experience</w:t>
      </w:r>
      <w:proofErr w:type="spellEnd"/>
      <w:r>
        <w:rPr>
          <w:rFonts w:ascii="myriadpro-regular" w:hAnsi="myriadpro-regular"/>
          <w:color w:val="333333"/>
          <w:sz w:val="21"/>
          <w:szCs w:val="21"/>
        </w:rPr>
        <w:t xml:space="preserve"> in diagnosis and management of Osteoporosis and Bone and Calcium disorders. He led </w:t>
      </w:r>
      <w:proofErr w:type="spellStart"/>
      <w:r>
        <w:rPr>
          <w:rFonts w:ascii="myriadpro-regular" w:hAnsi="myriadpro-regular"/>
          <w:color w:val="333333"/>
          <w:sz w:val="21"/>
          <w:szCs w:val="21"/>
        </w:rPr>
        <w:t>Garvan</w:t>
      </w:r>
      <w:proofErr w:type="spellEnd"/>
      <w:r>
        <w:rPr>
          <w:rFonts w:ascii="myriadpro-regular" w:hAnsi="myriadpro-regular"/>
          <w:color w:val="333333"/>
          <w:sz w:val="21"/>
          <w:szCs w:val="21"/>
        </w:rPr>
        <w:t xml:space="preserve"> Institute of Medical Osteoporosis research from 1984 and a Senior Staff Specialist Endocrinology, St Vincent’s Hospital Sydney. He is Associate Dean for Clinical Leadership and Research, School of Medicine Sydney, University of Notre Dame Australia and Adjunct Professor, School of Medicine, UNSW Sydney. Professor </w:t>
      </w:r>
      <w:proofErr w:type="spellStart"/>
      <w:r>
        <w:rPr>
          <w:rFonts w:ascii="myriadpro-regular" w:hAnsi="myriadpro-regular"/>
          <w:color w:val="333333"/>
          <w:sz w:val="21"/>
          <w:szCs w:val="21"/>
        </w:rPr>
        <w:t>Eisman</w:t>
      </w:r>
      <w:proofErr w:type="spellEnd"/>
      <w:r>
        <w:rPr>
          <w:rFonts w:ascii="myriadpro-regular" w:hAnsi="myriadpro-regular"/>
          <w:color w:val="333333"/>
          <w:sz w:val="21"/>
          <w:szCs w:val="21"/>
        </w:rPr>
        <w:t xml:space="preserve"> was Editor-in-Chief of the Journal of Bone and Mineral Research, Council member of the American Society for Bone and Mineral Research and co-founder and President of the Australia and New Zealand Bone and Mineral Society.</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His research is focused on the epidemiology and genetics of osteoporosis. His major commitment and focus </w:t>
      </w:r>
      <w:proofErr w:type="gramStart"/>
      <w:r>
        <w:rPr>
          <w:rFonts w:ascii="myriadpro-regular" w:hAnsi="myriadpro-regular"/>
          <w:color w:val="333333"/>
          <w:sz w:val="21"/>
          <w:szCs w:val="21"/>
        </w:rPr>
        <w:t>is</w:t>
      </w:r>
      <w:proofErr w:type="gramEnd"/>
      <w:r>
        <w:rPr>
          <w:rFonts w:ascii="myriadpro-regular" w:hAnsi="myriadpro-regular"/>
          <w:color w:val="333333"/>
          <w:sz w:val="21"/>
          <w:szCs w:val="21"/>
        </w:rPr>
        <w:t xml:space="preserve"> translating osteoporosis research findings to real improvements in health care delivery to the general community through the education of patients, carers and doctors. He has chaired major Health Priority activities related to Clinical Innovation in Musculoskeletal conditions and International Task Force on Osteoporotic Fracture prevention. Awards include 2013 William F Neuman Award, the senior award of the American Society for Bone and Mineral Research; 2015 Fellowship of the Australian Academy of Health and Medical Sciences and 2018 Career Achievement Award of the Australia and New Zealand Bone and Mineral Society.</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1245-1300: Q and A.</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Sunday 24</w:t>
      </w:r>
      <w:r>
        <w:rPr>
          <w:rStyle w:val="Strong"/>
          <w:rFonts w:ascii="myriadpro-regular" w:hAnsi="myriadpro-regular"/>
          <w:color w:val="333333"/>
          <w:sz w:val="16"/>
          <w:szCs w:val="16"/>
          <w:vertAlign w:val="superscript"/>
        </w:rPr>
        <w:t>th</w:t>
      </w:r>
      <w:r>
        <w:rPr>
          <w:rStyle w:val="Strong"/>
          <w:rFonts w:ascii="myriadpro-regular" w:hAnsi="myriadpro-regular"/>
          <w:color w:val="333333"/>
          <w:sz w:val="21"/>
          <w:szCs w:val="21"/>
        </w:rPr>
        <w:t> October</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0900-0930: Plenary. New treatments for osteoporosis (and when to use them): Dr Christian Girgis. Dept. of Endocrinology, Westmead Hospital and RNSH. Clinical lead, Westmead osteoporosis re-fracture prevention program.</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Associate Professor Christian Girgis is a staff specialist in endocrinology and clinical lead of the osteoporosis re-fracture prevention service in Westmead Hospital, Sydney.  He is the Program Director of the </w:t>
      </w:r>
      <w:proofErr w:type="gramStart"/>
      <w:r>
        <w:rPr>
          <w:rFonts w:ascii="myriadpro-regular" w:hAnsi="myriadpro-regular"/>
          <w:color w:val="333333"/>
          <w:sz w:val="21"/>
          <w:szCs w:val="21"/>
        </w:rPr>
        <w:t>Masters of Medicine</w:t>
      </w:r>
      <w:proofErr w:type="gramEnd"/>
      <w:r>
        <w:rPr>
          <w:rFonts w:ascii="myriadpro-regular" w:hAnsi="myriadpro-regular"/>
          <w:color w:val="333333"/>
          <w:sz w:val="21"/>
          <w:szCs w:val="21"/>
        </w:rPr>
        <w:t xml:space="preserve"> (</w:t>
      </w:r>
      <w:proofErr w:type="spellStart"/>
      <w:r>
        <w:rPr>
          <w:rFonts w:ascii="myriadpro-regular" w:hAnsi="myriadpro-regular"/>
          <w:color w:val="333333"/>
          <w:sz w:val="21"/>
          <w:szCs w:val="21"/>
        </w:rPr>
        <w:t>MMed</w:t>
      </w:r>
      <w:proofErr w:type="spellEnd"/>
      <w:r>
        <w:rPr>
          <w:rFonts w:ascii="myriadpro-regular" w:hAnsi="myriadpro-regular"/>
          <w:color w:val="333333"/>
          <w:sz w:val="21"/>
          <w:szCs w:val="21"/>
        </w:rPr>
        <w:t>) Internal Medicine program in the Faculty of Medicine and Health at the University of Sydney. He leads an active research program in musculoskeletal disorders, optimal use of osteoporosis therapies and rare bone disorders.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lastRenderedPageBreak/>
        <w:t>0930-1015: Case: Skeletal health in patients with Premature Ovarian Insufficiency and breast cancer: A. Prof. Amanda Vincent. Head of early menopause research, Monash University.</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Clinical Associate Professor Amanda Vincent is a clinician researcher combining clinical practice in menopause with menopause related research, translation and education. She is lead endocrinologist in the Menopause and Menopause Oncology clinics, Monash Health, Clayton with over 20 </w:t>
      </w:r>
      <w:proofErr w:type="spellStart"/>
      <w:r>
        <w:rPr>
          <w:rFonts w:ascii="myriadpro-regular" w:hAnsi="myriadpro-regular"/>
          <w:color w:val="333333"/>
          <w:sz w:val="21"/>
          <w:szCs w:val="21"/>
        </w:rPr>
        <w:t>years experience</w:t>
      </w:r>
      <w:proofErr w:type="spellEnd"/>
      <w:r>
        <w:rPr>
          <w:rFonts w:ascii="myriadpro-regular" w:hAnsi="myriadpro-regular"/>
          <w:color w:val="333333"/>
          <w:sz w:val="21"/>
          <w:szCs w:val="21"/>
        </w:rPr>
        <w:t>. She is Head of Early Menopause Research, Monash Centre for Health Research and Implementation, Monash University with publications and successful grant funding in projects related to early menopause research, consumer and health professional education. She is Past President of the Australasian Menopause Society, board member of the International Menopause Society and a member of the editorial board of the journal “Climacteric.</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1015-1045:  Balance and fall assessment: A. Prof Cathy Said. Physiotherapy, Western Health and University of Melbourne, project director Australian Institute for Musculoskeletal Science.</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A/Professor Said [PhD, B App Sci (Physio)] is the inaugural Associate Professor Physiotherapy, Western Health &amp; The University of Melbourne and a program director with the Australian Institute of Musculoskeletal Science.  She has combined research with a clinical </w:t>
      </w:r>
      <w:proofErr w:type="gramStart"/>
      <w:r>
        <w:rPr>
          <w:rFonts w:ascii="myriadpro-regular" w:hAnsi="myriadpro-regular"/>
          <w:color w:val="333333"/>
          <w:sz w:val="21"/>
          <w:szCs w:val="21"/>
        </w:rPr>
        <w:t>career, and</w:t>
      </w:r>
      <w:proofErr w:type="gramEnd"/>
      <w:r>
        <w:rPr>
          <w:rFonts w:ascii="myriadpro-regular" w:hAnsi="myriadpro-regular"/>
          <w:color w:val="333333"/>
          <w:sz w:val="21"/>
          <w:szCs w:val="21"/>
        </w:rPr>
        <w:t xml:space="preserve"> has over 25 </w:t>
      </w:r>
      <w:proofErr w:type="spellStart"/>
      <w:r>
        <w:rPr>
          <w:rFonts w:ascii="myriadpro-regular" w:hAnsi="myriadpro-regular"/>
          <w:color w:val="333333"/>
          <w:sz w:val="21"/>
          <w:szCs w:val="21"/>
        </w:rPr>
        <w:t>years experience</w:t>
      </w:r>
      <w:proofErr w:type="spellEnd"/>
      <w:r>
        <w:rPr>
          <w:rFonts w:ascii="myriadpro-regular" w:hAnsi="myriadpro-regular"/>
          <w:color w:val="333333"/>
          <w:sz w:val="21"/>
          <w:szCs w:val="21"/>
        </w:rPr>
        <w:t xml:space="preserve"> working in public hospitals, predominantly in neurological and aged care rehabilitation. Her research focuses on fall prevention and rehabilitation of older people and people with neurological disorders. She is a member of a collaboration developing global falls prevention guidelines and is Chair of the Victorian Health Research Translation Collaboration Falls Prevention Committee.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1045-1130: Case: New therapies for paediatric bone diseases:  implications for adult care: A. Prof. Christine Rodda. Paediatric Endocrinology, Western Health, Sunshine Hospital and Ballarat Health Services.</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Associate Professor Christine Rodda is a medical graduate and post graduate of the University of Melbourne.  She undertook her training in paediatric endocrinology both in Melbourne and at Great Ormond Street Hospital for Sick Children, London and has over 30 years of clinical experience in paediatric endocrinology.  In the mid 1980’s she undertook a PhD with Professor Jack Martin, studying the oncofetal role of parathyroid hormone related protein (</w:t>
      </w:r>
      <w:proofErr w:type="spellStart"/>
      <w:r>
        <w:rPr>
          <w:rFonts w:ascii="myriadpro-regular" w:hAnsi="myriadpro-regular"/>
          <w:color w:val="333333"/>
          <w:sz w:val="21"/>
          <w:szCs w:val="21"/>
        </w:rPr>
        <w:t>PTHrP</w:t>
      </w:r>
      <w:proofErr w:type="spellEnd"/>
      <w:r>
        <w:rPr>
          <w:rFonts w:ascii="myriadpro-regular" w:hAnsi="myriadpro-regular"/>
          <w:color w:val="333333"/>
          <w:sz w:val="21"/>
          <w:szCs w:val="21"/>
        </w:rPr>
        <w:t xml:space="preserve">).  Since then she has maintained a strong interest and expertise in paediatric and adolescent disorders of bone and calcium metabolism, particularly in premature infants, as well as in vitamin D metabolism in pregnancy, infants and children.  She also has major interests in neonatal endocrinology generally and in diabetes care in young adult transition clinics. In 2012, A/Professor Rodda stepped down as Head of Paediatric Endocrinology at Monash Medical Centre after 13 years in this position, to take up an academic role in paediatrics at Western Health, Sunshine Hospital, to support medical student teaching in paediatrics and to participate in bone-related research programs within AIMSS (the Australian Institute for Musculoskeletal Science). She also established Paediatric Endocrinology and Young Adults Diabetes clinics at Sunshine Hospital in </w:t>
      </w:r>
      <w:proofErr w:type="gramStart"/>
      <w:r>
        <w:rPr>
          <w:rFonts w:ascii="myriadpro-regular" w:hAnsi="myriadpro-regular"/>
          <w:color w:val="333333"/>
          <w:sz w:val="21"/>
          <w:szCs w:val="21"/>
        </w:rPr>
        <w:t>2013, and</w:t>
      </w:r>
      <w:proofErr w:type="gramEnd"/>
      <w:r>
        <w:rPr>
          <w:rFonts w:ascii="myriadpro-regular" w:hAnsi="myriadpro-regular"/>
          <w:color w:val="333333"/>
          <w:sz w:val="21"/>
          <w:szCs w:val="21"/>
        </w:rPr>
        <w:t xml:space="preserve"> has been a VMO in Paediatric Endocrinology at Ballarat Health Services since 2010.  A/Professor Rodda has co-authored over 90 peer reviewed publications, including 4 book chapters.</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1130-1215: Case: Transplantation and Bone: Prof. Peter Ebeling. Head, Dept. of Medicine, School of Clinical Sciences, Monash Health.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xml:space="preserve">Professor Peter Ebeling AO is Head, Department of Medicine, School of Clinical Sciences at Monash Health, Faculty of Medicine, Nursing and Health Sciences, Monash University and Chair of the Division of Medicine at Monash Health. He is also Honorary Professor of Medicine of the Faculty of Medicine, Dentistry and Health Sciences at the University of Melbourne and was the inaugural </w:t>
      </w:r>
      <w:r>
        <w:rPr>
          <w:rFonts w:ascii="myriadpro-regular" w:hAnsi="myriadpro-regular"/>
          <w:color w:val="333333"/>
          <w:sz w:val="21"/>
          <w:szCs w:val="21"/>
        </w:rPr>
        <w:lastRenderedPageBreak/>
        <w:t>Director of the Australian Institute of Musculoskeletal Science. In 2015, he was made an Officer of the General Division of the Order of Australia for distinguished service in the field of bone health.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Professor Ebeling has held numerous leadership roles with scientific societies, including serving on the ASBMR Council from 2011 to 2014 and 2017-, Co-Chair of the ASBMR 2009 Annual Meeting Program Committee and currently serves as the first non-American ASBMR President. He has served as Associate Editor of </w:t>
      </w:r>
      <w:r>
        <w:rPr>
          <w:rStyle w:val="Emphasis"/>
          <w:rFonts w:ascii="myriadpro-regular" w:hAnsi="myriadpro-regular"/>
          <w:color w:val="333333"/>
          <w:sz w:val="21"/>
          <w:szCs w:val="21"/>
        </w:rPr>
        <w:t>JBMR</w:t>
      </w:r>
      <w:r>
        <w:rPr>
          <w:rFonts w:ascii="myriadpro-regular" w:hAnsi="myriadpro-regular"/>
          <w:color w:val="333333"/>
          <w:sz w:val="21"/>
          <w:szCs w:val="21"/>
        </w:rPr>
        <w:t> and on the Editorial Boards of </w:t>
      </w:r>
      <w:r>
        <w:rPr>
          <w:rStyle w:val="Emphasis"/>
          <w:rFonts w:ascii="myriadpro-regular" w:hAnsi="myriadpro-regular"/>
          <w:color w:val="333333"/>
          <w:sz w:val="21"/>
          <w:szCs w:val="21"/>
        </w:rPr>
        <w:t>Osteoporosis International</w:t>
      </w:r>
      <w:r>
        <w:rPr>
          <w:rFonts w:ascii="myriadpro-regular" w:hAnsi="myriadpro-regular"/>
          <w:color w:val="333333"/>
          <w:sz w:val="21"/>
          <w:szCs w:val="21"/>
        </w:rPr>
        <w:t>, </w:t>
      </w:r>
      <w:r>
        <w:rPr>
          <w:rStyle w:val="Emphasis"/>
          <w:rFonts w:ascii="myriadpro-regular" w:hAnsi="myriadpro-regular"/>
          <w:color w:val="333333"/>
          <w:sz w:val="21"/>
          <w:szCs w:val="21"/>
        </w:rPr>
        <w:t>Clinical Endocrinology </w:t>
      </w:r>
      <w:r>
        <w:rPr>
          <w:rFonts w:ascii="myriadpro-regular" w:hAnsi="myriadpro-regular"/>
          <w:color w:val="333333"/>
          <w:sz w:val="21"/>
          <w:szCs w:val="21"/>
        </w:rPr>
        <w:t>as Editor,</w:t>
      </w:r>
      <w:r>
        <w:rPr>
          <w:rStyle w:val="Emphasis"/>
          <w:rFonts w:ascii="myriadpro-regular" w:hAnsi="myriadpro-regular"/>
          <w:color w:val="333333"/>
          <w:sz w:val="21"/>
          <w:szCs w:val="21"/>
        </w:rPr>
        <w:t> and Bone</w:t>
      </w:r>
      <w:r>
        <w:rPr>
          <w:rFonts w:ascii="myriadpro-regular" w:hAnsi="myriadpro-regular"/>
          <w:color w:val="333333"/>
          <w:sz w:val="21"/>
          <w:szCs w:val="21"/>
        </w:rPr>
        <w:t>, and was the inaugural Editor-in-Chief of both </w:t>
      </w:r>
      <w:r>
        <w:rPr>
          <w:rStyle w:val="Emphasis"/>
          <w:rFonts w:ascii="myriadpro-regular" w:hAnsi="myriadpro-regular"/>
          <w:color w:val="333333"/>
          <w:sz w:val="21"/>
          <w:szCs w:val="21"/>
        </w:rPr>
        <w:t>Bone Reports </w:t>
      </w:r>
      <w:r>
        <w:rPr>
          <w:rFonts w:ascii="myriadpro-regular" w:hAnsi="myriadpro-regular"/>
          <w:color w:val="333333"/>
          <w:sz w:val="21"/>
          <w:szCs w:val="21"/>
        </w:rPr>
        <w:t>and</w:t>
      </w:r>
      <w:r>
        <w:rPr>
          <w:rStyle w:val="Emphasis"/>
          <w:rFonts w:ascii="myriadpro-regular" w:hAnsi="myriadpro-regular"/>
          <w:color w:val="333333"/>
          <w:sz w:val="21"/>
          <w:szCs w:val="21"/>
        </w:rPr>
        <w:t> JBMR Plus</w:t>
      </w:r>
      <w:r>
        <w:rPr>
          <w:rFonts w:ascii="myriadpro-regular" w:hAnsi="myriadpro-regular"/>
          <w:color w:val="333333"/>
          <w:sz w:val="21"/>
          <w:szCs w:val="21"/>
        </w:rPr>
        <w:t>. Research interests include musculoskeletal health and diseases; public health aspects of vitamin D, including effects on muscle function, bone and diabetes; post-transplantation osteoporosis; and osteoporosis in men.</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He is also Chair, Healthy Bones Australia; Board Member, International Osteoporosis Foundation; Past-President, Endocrine Society of Australia; and Past-President, Australian and New Zealand Bone and Mineral Society. He was on the Australian National Health and Research Council (NHMRC) Academy from 2009-2014 and NHMRC Research Committee from 2015-2018 and received a NHMRC Leadership 3 Investigator Grant in 2020. He has over 450 peer-reviewed publications with over 28,100 citations, and he also teaches and mentors medical students, and supervises several Research Higher Degree students.</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 xml:space="preserve">1215-1245: Update on Fracture Liaison Services: Mrs Solange Bernardo. </w:t>
      </w:r>
      <w:proofErr w:type="gramStart"/>
      <w:r>
        <w:rPr>
          <w:rStyle w:val="Strong"/>
          <w:rFonts w:ascii="myriadpro-regular" w:hAnsi="myriadpro-regular"/>
          <w:color w:val="333333"/>
          <w:sz w:val="21"/>
          <w:szCs w:val="21"/>
        </w:rPr>
        <w:t>Western Health,</w:t>
      </w:r>
      <w:proofErr w:type="gramEnd"/>
      <w:r>
        <w:rPr>
          <w:rStyle w:val="Strong"/>
          <w:rFonts w:ascii="myriadpro-regular" w:hAnsi="myriadpro-regular"/>
          <w:color w:val="333333"/>
          <w:sz w:val="21"/>
          <w:szCs w:val="21"/>
        </w:rPr>
        <w:t xml:space="preserve"> Falls and Fractures Clinic.</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Mrs. Solange Bernardo, BSN, has been the Fracture Liaison Nurse at AIMSS/Western Health since 2016. Mrs Bernardo has participated in care planning for over 3,000 Osteoporotic patient and she coordinates The Falls and Fracture Clinic a multidisciplinary medically led clinic which prevent patients’ new or recurrent episodes of falls or osteoporotic fractures. She is also the local Chief Investigator for the Australian and New Zealand Hip Fracture Registry at Western Health.  Mrs Bernardo was the recipient of the prestigious 2019 Betsy Love McClung, FN, MN Travel Grant which recognises the best FLS in the world.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Since 2019 Ms Bernardo accepted a position of Research Fellow with the University of Melbourne, she has several publications with the AIMSS team and is a regular presenter at our scientific meetings.</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1245-1300: Q and A</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Style w:val="Strong"/>
          <w:rFonts w:ascii="myriadpro-regular" w:hAnsi="myriadpro-regular"/>
          <w:color w:val="333333"/>
          <w:sz w:val="21"/>
          <w:szCs w:val="21"/>
        </w:rPr>
        <w:t>Programme coordination:</w:t>
      </w:r>
      <w:r>
        <w:rPr>
          <w:rFonts w:ascii="myriadpro-regular" w:hAnsi="myriadpro-regular"/>
          <w:color w:val="333333"/>
          <w:sz w:val="21"/>
          <w:szCs w:val="21"/>
        </w:rPr>
        <w:t xml:space="preserve"> Grahame Elder, Cherie Chiang, Jacqueline </w:t>
      </w:r>
      <w:proofErr w:type="spellStart"/>
      <w:r>
        <w:rPr>
          <w:rFonts w:ascii="myriadpro-regular" w:hAnsi="myriadpro-regular"/>
          <w:color w:val="333333"/>
          <w:sz w:val="21"/>
          <w:szCs w:val="21"/>
        </w:rPr>
        <w:t>Center</w:t>
      </w:r>
      <w:proofErr w:type="spellEnd"/>
      <w:r>
        <w:rPr>
          <w:rFonts w:ascii="myriadpro-regular" w:hAnsi="myriadpro-regular"/>
          <w:color w:val="333333"/>
          <w:sz w:val="21"/>
          <w:szCs w:val="21"/>
        </w:rPr>
        <w:t xml:space="preserve">, Gustavo Duque, David Kim, </w:t>
      </w:r>
      <w:proofErr w:type="spellStart"/>
      <w:r>
        <w:rPr>
          <w:rFonts w:ascii="myriadpro-regular" w:hAnsi="myriadpro-regular"/>
          <w:color w:val="333333"/>
          <w:sz w:val="21"/>
          <w:szCs w:val="21"/>
        </w:rPr>
        <w:t>Jasna</w:t>
      </w:r>
      <w:proofErr w:type="spellEnd"/>
      <w:r>
        <w:rPr>
          <w:rFonts w:ascii="myriadpro-regular" w:hAnsi="myriadpro-regular"/>
          <w:color w:val="333333"/>
          <w:sz w:val="21"/>
          <w:szCs w:val="21"/>
        </w:rPr>
        <w:t xml:space="preserve"> </w:t>
      </w:r>
      <w:proofErr w:type="spellStart"/>
      <w:r>
        <w:rPr>
          <w:rFonts w:ascii="myriadpro-regular" w:hAnsi="myriadpro-regular"/>
          <w:color w:val="333333"/>
          <w:sz w:val="21"/>
          <w:szCs w:val="21"/>
        </w:rPr>
        <w:t>Aleksova</w:t>
      </w:r>
      <w:proofErr w:type="spellEnd"/>
      <w:r>
        <w:rPr>
          <w:rFonts w:ascii="myriadpro-regular" w:hAnsi="myriadpro-regular"/>
          <w:color w:val="333333"/>
          <w:sz w:val="21"/>
          <w:szCs w:val="21"/>
        </w:rPr>
        <w:t xml:space="preserve"> and Anne Trinh.</w:t>
      </w:r>
    </w:p>
    <w:p w:rsidR="000147C4" w:rsidRDefault="000147C4" w:rsidP="000147C4">
      <w:pPr>
        <w:pStyle w:val="NormalWeb"/>
        <w:shd w:val="clear" w:color="auto" w:fill="FFFFFF"/>
        <w:spacing w:before="0" w:beforeAutospacing="0" w:after="150" w:afterAutospacing="0"/>
        <w:rPr>
          <w:rFonts w:ascii="myriadpro-regular" w:hAnsi="myriadpro-regular"/>
          <w:color w:val="333333"/>
          <w:sz w:val="21"/>
          <w:szCs w:val="21"/>
        </w:rPr>
      </w:pPr>
      <w:r>
        <w:rPr>
          <w:rFonts w:ascii="myriadpro-regular" w:hAnsi="myriadpro-regular"/>
          <w:color w:val="333333"/>
          <w:sz w:val="21"/>
          <w:szCs w:val="21"/>
        </w:rPr>
        <w:t> </w:t>
      </w:r>
    </w:p>
    <w:p w:rsidR="000147C4" w:rsidRDefault="000147C4">
      <w:bookmarkStart w:id="0" w:name="_GoBack"/>
      <w:bookmarkEnd w:id="0"/>
    </w:p>
    <w:sectPr w:rsidR="00014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C4"/>
    <w:rsid w:val="00014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475D8-8D6F-49F2-9538-621300BC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7C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147C4"/>
    <w:rPr>
      <w:b/>
      <w:bCs/>
    </w:rPr>
  </w:style>
  <w:style w:type="character" w:styleId="Emphasis">
    <w:name w:val="Emphasis"/>
    <w:basedOn w:val="DefaultParagraphFont"/>
    <w:uiPriority w:val="20"/>
    <w:qFormat/>
    <w:rsid w:val="000147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2101</Words>
  <Characters>11982</Characters>
  <Application>Microsoft Office Word</Application>
  <DocSecurity>0</DocSecurity>
  <Lines>99</Lines>
  <Paragraphs>28</Paragraphs>
  <ScaleCrop>false</ScaleCrop>
  <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ijohnson@anzbms.org.au</dc:creator>
  <cp:keywords/>
  <dc:description/>
  <cp:lastModifiedBy>ijohnson@anzbms.org.au</cp:lastModifiedBy>
  <cp:revision>1</cp:revision>
  <dcterms:created xsi:type="dcterms:W3CDTF">2022-04-19T03:49:00Z</dcterms:created>
  <dcterms:modified xsi:type="dcterms:W3CDTF">2022-04-19T03:51:00Z</dcterms:modified>
</cp:coreProperties>
</file>