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80"/>
        <w:rPr>
          <w:rFonts w:ascii="Times New Roman"/>
          <w:sz w:val="20"/>
        </w:rPr>
      </w:pPr>
      <w:r>
        <w:rPr>
          <w:rFonts w:ascii="Times New Roman"/>
          <w:sz w:val="20"/>
        </w:rPr>
        <w:drawing>
          <wp:inline distT="0" distB="0" distL="0" distR="0">
            <wp:extent cx="1600766" cy="982979"/>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00766" cy="982979"/>
                    </a:xfrm>
                    <a:prstGeom prst="rect">
                      <a:avLst/>
                    </a:prstGeom>
                  </pic:spPr>
                </pic:pic>
              </a:graphicData>
            </a:graphic>
          </wp:inline>
        </w:drawing>
      </w:r>
      <w:r>
        <w:rPr>
          <w:rFonts w:ascii="Times New Roman"/>
          <w:sz w:val="20"/>
        </w:rPr>
      </w:r>
    </w:p>
    <w:p>
      <w:pPr>
        <w:spacing w:before="58"/>
        <w:ind w:left="117" w:right="0" w:firstLine="0"/>
        <w:jc w:val="both"/>
        <w:rPr>
          <w:b/>
          <w:sz w:val="26"/>
        </w:rPr>
      </w:pPr>
      <w:r>
        <w:rPr>
          <w:b/>
          <w:sz w:val="26"/>
        </w:rPr>
        <w:t>Statement on Calcium and Vitamin D for Bone Health in Australian Adult Populations</w:t>
      </w:r>
    </w:p>
    <w:p>
      <w:pPr>
        <w:pStyle w:val="Heading1"/>
        <w:spacing w:line="446" w:lineRule="auto" w:before="66"/>
        <w:ind w:right="7222"/>
      </w:pPr>
      <w:r>
        <w:rPr/>
        <w:t>Reviewed December 2017. Recommendations</w:t>
      </w:r>
    </w:p>
    <w:p>
      <w:pPr>
        <w:spacing w:line="252" w:lineRule="auto" w:before="43"/>
        <w:ind w:left="117" w:right="0" w:firstLine="0"/>
        <w:jc w:val="left"/>
        <w:rPr>
          <w:b/>
          <w:sz w:val="24"/>
        </w:rPr>
      </w:pPr>
      <w:r>
        <w:rPr>
          <w:b/>
          <w:sz w:val="24"/>
        </w:rPr>
        <w:t>Optimal fracture prevention by diet is considered to require a combination of both calcium and vitamin D.</w:t>
      </w:r>
    </w:p>
    <w:p>
      <w:pPr>
        <w:pStyle w:val="BodyText"/>
        <w:spacing w:before="11"/>
        <w:rPr>
          <w:b/>
          <w:sz w:val="22"/>
        </w:rPr>
      </w:pPr>
    </w:p>
    <w:p>
      <w:pPr>
        <w:spacing w:line="249" w:lineRule="auto" w:before="0"/>
        <w:ind w:left="117" w:right="117" w:firstLine="0"/>
        <w:jc w:val="both"/>
        <w:rPr>
          <w:b/>
          <w:sz w:val="24"/>
        </w:rPr>
      </w:pPr>
      <w:r>
        <w:rPr>
          <w:b/>
          <w:sz w:val="24"/>
        </w:rPr>
        <w:t>Osteoporosis Australia continues to support the National Health and Medical Research Council Recommended Dietary Intake (RDI) of calcium 1000 mg to 1300 mg of calcium per day in men and women. The RDI is the average daily dietary intake level that is sufficient to meet the nutrient requirements of nearly all (97–98 per cent) healthy individuals in a particular life stage and gender group and differs by age and gender (see Table 1). Ideally this should be achieved by consuming a diet rich in calcium by selecting foods that are naturally high in calcium, and including foods that have</w:t>
      </w:r>
      <w:r>
        <w:rPr>
          <w:b/>
          <w:spacing w:val="-13"/>
          <w:sz w:val="24"/>
        </w:rPr>
        <w:t> </w:t>
      </w:r>
      <w:r>
        <w:rPr>
          <w:b/>
          <w:sz w:val="24"/>
        </w:rPr>
        <w:t>had</w:t>
      </w:r>
      <w:r>
        <w:rPr>
          <w:b/>
          <w:spacing w:val="-11"/>
          <w:sz w:val="24"/>
        </w:rPr>
        <w:t> </w:t>
      </w:r>
      <w:r>
        <w:rPr>
          <w:b/>
          <w:sz w:val="24"/>
        </w:rPr>
        <w:t>calcium</w:t>
      </w:r>
      <w:r>
        <w:rPr>
          <w:b/>
          <w:spacing w:val="-12"/>
          <w:sz w:val="24"/>
        </w:rPr>
        <w:t> </w:t>
      </w:r>
      <w:r>
        <w:rPr>
          <w:b/>
          <w:sz w:val="24"/>
        </w:rPr>
        <w:t>added</w:t>
      </w:r>
      <w:r>
        <w:rPr>
          <w:b/>
          <w:spacing w:val="-13"/>
          <w:sz w:val="24"/>
        </w:rPr>
        <w:t> </w:t>
      </w:r>
      <w:r>
        <w:rPr>
          <w:b/>
          <w:sz w:val="24"/>
        </w:rPr>
        <w:t>to</w:t>
      </w:r>
      <w:r>
        <w:rPr>
          <w:b/>
          <w:spacing w:val="-10"/>
          <w:sz w:val="24"/>
        </w:rPr>
        <w:t> </w:t>
      </w:r>
      <w:r>
        <w:rPr>
          <w:b/>
          <w:sz w:val="24"/>
        </w:rPr>
        <w:t>them</w:t>
      </w:r>
      <w:r>
        <w:rPr>
          <w:b/>
          <w:spacing w:val="-9"/>
          <w:sz w:val="24"/>
        </w:rPr>
        <w:t> </w:t>
      </w:r>
      <w:r>
        <w:rPr>
          <w:b/>
          <w:sz w:val="24"/>
        </w:rPr>
        <w:t>-</w:t>
      </w:r>
      <w:r>
        <w:rPr>
          <w:b/>
          <w:spacing w:val="-10"/>
          <w:sz w:val="24"/>
        </w:rPr>
        <w:t> </w:t>
      </w:r>
      <w:r>
        <w:rPr>
          <w:b/>
          <w:sz w:val="24"/>
        </w:rPr>
        <w:t>so</w:t>
      </w:r>
      <w:r>
        <w:rPr>
          <w:b/>
          <w:spacing w:val="-11"/>
          <w:sz w:val="24"/>
        </w:rPr>
        <w:t> </w:t>
      </w:r>
      <w:r>
        <w:rPr>
          <w:b/>
          <w:sz w:val="24"/>
        </w:rPr>
        <w:t>called</w:t>
      </w:r>
      <w:r>
        <w:rPr>
          <w:b/>
          <w:spacing w:val="-11"/>
          <w:sz w:val="24"/>
        </w:rPr>
        <w:t> </w:t>
      </w:r>
      <w:r>
        <w:rPr>
          <w:b/>
          <w:sz w:val="24"/>
        </w:rPr>
        <w:t>‘calcium-enriched’</w:t>
      </w:r>
      <w:r>
        <w:rPr>
          <w:b/>
          <w:spacing w:val="-11"/>
          <w:sz w:val="24"/>
        </w:rPr>
        <w:t> </w:t>
      </w:r>
      <w:r>
        <w:rPr>
          <w:b/>
          <w:sz w:val="24"/>
        </w:rPr>
        <w:t>foods.</w:t>
      </w:r>
      <w:r>
        <w:rPr>
          <w:b/>
          <w:spacing w:val="33"/>
          <w:sz w:val="24"/>
        </w:rPr>
        <w:t> </w:t>
      </w:r>
      <w:r>
        <w:rPr>
          <w:b/>
          <w:sz w:val="24"/>
        </w:rPr>
        <w:t>When</w:t>
      </w:r>
      <w:r>
        <w:rPr>
          <w:b/>
          <w:spacing w:val="-11"/>
          <w:sz w:val="24"/>
        </w:rPr>
        <w:t> </w:t>
      </w:r>
      <w:r>
        <w:rPr>
          <w:b/>
          <w:sz w:val="24"/>
        </w:rPr>
        <w:t>the</w:t>
      </w:r>
      <w:r>
        <w:rPr>
          <w:b/>
          <w:spacing w:val="-12"/>
          <w:sz w:val="24"/>
        </w:rPr>
        <w:t> </w:t>
      </w:r>
      <w:r>
        <w:rPr>
          <w:b/>
          <w:sz w:val="24"/>
        </w:rPr>
        <w:t>calcium</w:t>
      </w:r>
      <w:r>
        <w:rPr>
          <w:b/>
          <w:spacing w:val="-12"/>
          <w:sz w:val="24"/>
        </w:rPr>
        <w:t> </w:t>
      </w:r>
      <w:r>
        <w:rPr>
          <w:b/>
          <w:sz w:val="24"/>
        </w:rPr>
        <w:t>RDI</w:t>
      </w:r>
      <w:r>
        <w:rPr>
          <w:b/>
          <w:spacing w:val="-11"/>
          <w:sz w:val="24"/>
        </w:rPr>
        <w:t> </w:t>
      </w:r>
      <w:r>
        <w:rPr>
          <w:b/>
          <w:sz w:val="24"/>
        </w:rPr>
        <w:t>cannot be achieved by individuals through the diet alone, calcium supplements are indicated. In these circumstances</w:t>
      </w:r>
      <w:r>
        <w:rPr>
          <w:b/>
          <w:spacing w:val="-4"/>
          <w:sz w:val="24"/>
        </w:rPr>
        <w:t> </w:t>
      </w:r>
      <w:r>
        <w:rPr>
          <w:b/>
          <w:sz w:val="24"/>
        </w:rPr>
        <w:t>Osteoporosis</w:t>
      </w:r>
      <w:r>
        <w:rPr>
          <w:b/>
          <w:spacing w:val="-6"/>
          <w:sz w:val="24"/>
        </w:rPr>
        <w:t> </w:t>
      </w:r>
      <w:r>
        <w:rPr>
          <w:b/>
          <w:sz w:val="24"/>
        </w:rPr>
        <w:t>Australia</w:t>
      </w:r>
      <w:r>
        <w:rPr>
          <w:b/>
          <w:spacing w:val="-7"/>
          <w:sz w:val="24"/>
        </w:rPr>
        <w:t> </w:t>
      </w:r>
      <w:r>
        <w:rPr>
          <w:b/>
          <w:sz w:val="24"/>
        </w:rPr>
        <w:t>recommends</w:t>
      </w:r>
      <w:r>
        <w:rPr>
          <w:b/>
          <w:spacing w:val="-4"/>
          <w:sz w:val="24"/>
        </w:rPr>
        <w:t> </w:t>
      </w:r>
      <w:r>
        <w:rPr>
          <w:b/>
          <w:sz w:val="24"/>
        </w:rPr>
        <w:t>a</w:t>
      </w:r>
      <w:r>
        <w:rPr>
          <w:b/>
          <w:spacing w:val="-7"/>
          <w:sz w:val="24"/>
        </w:rPr>
        <w:t> </w:t>
      </w:r>
      <w:r>
        <w:rPr>
          <w:b/>
          <w:sz w:val="24"/>
        </w:rPr>
        <w:t>daily</w:t>
      </w:r>
      <w:r>
        <w:rPr>
          <w:b/>
          <w:spacing w:val="-5"/>
          <w:sz w:val="24"/>
        </w:rPr>
        <w:t> </w:t>
      </w:r>
      <w:r>
        <w:rPr>
          <w:b/>
          <w:sz w:val="24"/>
        </w:rPr>
        <w:t>supplement</w:t>
      </w:r>
      <w:r>
        <w:rPr>
          <w:b/>
          <w:spacing w:val="-5"/>
          <w:sz w:val="24"/>
        </w:rPr>
        <w:t> </w:t>
      </w:r>
      <w:r>
        <w:rPr>
          <w:b/>
          <w:sz w:val="24"/>
        </w:rPr>
        <w:t>of</w:t>
      </w:r>
      <w:r>
        <w:rPr>
          <w:b/>
          <w:spacing w:val="-3"/>
          <w:sz w:val="24"/>
        </w:rPr>
        <w:t> </w:t>
      </w:r>
      <w:r>
        <w:rPr>
          <w:b/>
          <w:sz w:val="24"/>
        </w:rPr>
        <w:t>500-600mg</w:t>
      </w:r>
      <w:r>
        <w:rPr>
          <w:b/>
          <w:spacing w:val="-5"/>
          <w:sz w:val="24"/>
        </w:rPr>
        <w:t> </w:t>
      </w:r>
      <w:r>
        <w:rPr>
          <w:b/>
          <w:sz w:val="24"/>
        </w:rPr>
        <w:t>of</w:t>
      </w:r>
      <w:r>
        <w:rPr>
          <w:b/>
          <w:spacing w:val="-5"/>
          <w:sz w:val="24"/>
        </w:rPr>
        <w:t> </w:t>
      </w:r>
      <w:r>
        <w:rPr>
          <w:b/>
          <w:sz w:val="24"/>
        </w:rPr>
        <w:t>calcium.</w:t>
      </w:r>
    </w:p>
    <w:p>
      <w:pPr>
        <w:pStyle w:val="BodyText"/>
        <w:spacing w:before="1"/>
        <w:rPr>
          <w:b/>
          <w:sz w:val="23"/>
        </w:rPr>
      </w:pPr>
    </w:p>
    <w:p>
      <w:pPr>
        <w:spacing w:line="259" w:lineRule="auto" w:before="0"/>
        <w:ind w:left="117" w:right="119" w:firstLine="0"/>
        <w:jc w:val="both"/>
        <w:rPr>
          <w:b/>
          <w:sz w:val="24"/>
        </w:rPr>
      </w:pPr>
      <w:r>
        <w:rPr>
          <w:b/>
          <w:sz w:val="24"/>
        </w:rPr>
        <w:t>In the general population, ideal blood levels of vitamin D levels (25OHD) for older Australians are above 50 nmol/L at end of winter/early spring. There is some evidence that blood levels over 160 nmol/L</w:t>
      </w:r>
      <w:r>
        <w:rPr>
          <w:b/>
          <w:spacing w:val="-3"/>
          <w:sz w:val="24"/>
        </w:rPr>
        <w:t> </w:t>
      </w:r>
      <w:r>
        <w:rPr>
          <w:b/>
          <w:sz w:val="24"/>
        </w:rPr>
        <w:t>may</w:t>
      </w:r>
      <w:r>
        <w:rPr>
          <w:b/>
          <w:spacing w:val="-3"/>
          <w:sz w:val="24"/>
        </w:rPr>
        <w:t> </w:t>
      </w:r>
      <w:r>
        <w:rPr>
          <w:b/>
          <w:sz w:val="24"/>
        </w:rPr>
        <w:t>increase</w:t>
      </w:r>
      <w:r>
        <w:rPr>
          <w:b/>
          <w:spacing w:val="-3"/>
          <w:sz w:val="24"/>
        </w:rPr>
        <w:t> </w:t>
      </w:r>
      <w:r>
        <w:rPr>
          <w:b/>
          <w:sz w:val="24"/>
        </w:rPr>
        <w:t>fracture</w:t>
      </w:r>
      <w:r>
        <w:rPr>
          <w:b/>
          <w:spacing w:val="-5"/>
          <w:sz w:val="24"/>
        </w:rPr>
        <w:t> </w:t>
      </w:r>
      <w:r>
        <w:rPr>
          <w:b/>
          <w:sz w:val="24"/>
        </w:rPr>
        <w:t>risk.</w:t>
      </w:r>
      <w:r>
        <w:rPr>
          <w:b/>
          <w:spacing w:val="-1"/>
          <w:sz w:val="24"/>
        </w:rPr>
        <w:t> </w:t>
      </w:r>
      <w:r>
        <w:rPr>
          <w:b/>
          <w:sz w:val="24"/>
        </w:rPr>
        <w:t>In</w:t>
      </w:r>
      <w:r>
        <w:rPr>
          <w:b/>
          <w:spacing w:val="-3"/>
          <w:sz w:val="24"/>
        </w:rPr>
        <w:t> </w:t>
      </w:r>
      <w:r>
        <w:rPr>
          <w:b/>
          <w:sz w:val="24"/>
        </w:rPr>
        <w:t>people</w:t>
      </w:r>
      <w:r>
        <w:rPr>
          <w:b/>
          <w:spacing w:val="-4"/>
          <w:sz w:val="24"/>
        </w:rPr>
        <w:t> </w:t>
      </w:r>
      <w:r>
        <w:rPr>
          <w:b/>
          <w:sz w:val="24"/>
        </w:rPr>
        <w:t>with</w:t>
      </w:r>
      <w:r>
        <w:rPr>
          <w:b/>
          <w:spacing w:val="-2"/>
          <w:sz w:val="24"/>
        </w:rPr>
        <w:t> </w:t>
      </w:r>
      <w:r>
        <w:rPr>
          <w:b/>
          <w:sz w:val="24"/>
        </w:rPr>
        <w:t>a</w:t>
      </w:r>
      <w:r>
        <w:rPr>
          <w:b/>
          <w:spacing w:val="-5"/>
          <w:sz w:val="24"/>
        </w:rPr>
        <w:t> </w:t>
      </w:r>
      <w:r>
        <w:rPr>
          <w:b/>
          <w:sz w:val="24"/>
        </w:rPr>
        <w:t>blood</w:t>
      </w:r>
      <w:r>
        <w:rPr>
          <w:b/>
          <w:spacing w:val="-3"/>
          <w:sz w:val="24"/>
        </w:rPr>
        <w:t> </w:t>
      </w:r>
      <w:r>
        <w:rPr>
          <w:b/>
          <w:sz w:val="24"/>
        </w:rPr>
        <w:t>levels</w:t>
      </w:r>
      <w:r>
        <w:rPr>
          <w:b/>
          <w:spacing w:val="-4"/>
          <w:sz w:val="24"/>
        </w:rPr>
        <w:t> </w:t>
      </w:r>
      <w:r>
        <w:rPr>
          <w:b/>
          <w:sz w:val="24"/>
        </w:rPr>
        <w:t>of</w:t>
      </w:r>
      <w:r>
        <w:rPr>
          <w:b/>
          <w:spacing w:val="-3"/>
          <w:sz w:val="24"/>
        </w:rPr>
        <w:t> </w:t>
      </w:r>
      <w:r>
        <w:rPr>
          <w:b/>
          <w:sz w:val="24"/>
        </w:rPr>
        <w:t>25OHD</w:t>
      </w:r>
      <w:r>
        <w:rPr>
          <w:b/>
          <w:spacing w:val="-3"/>
          <w:sz w:val="24"/>
        </w:rPr>
        <w:t> </w:t>
      </w:r>
      <w:r>
        <w:rPr>
          <w:b/>
          <w:sz w:val="24"/>
        </w:rPr>
        <w:t>below 50</w:t>
      </w:r>
      <w:r>
        <w:rPr>
          <w:b/>
          <w:spacing w:val="-3"/>
          <w:sz w:val="24"/>
        </w:rPr>
        <w:t> </w:t>
      </w:r>
      <w:r>
        <w:rPr>
          <w:b/>
          <w:sz w:val="24"/>
        </w:rPr>
        <w:t>nmol/L</w:t>
      </w:r>
      <w:r>
        <w:rPr>
          <w:b/>
          <w:spacing w:val="-3"/>
          <w:sz w:val="24"/>
        </w:rPr>
        <w:t> </w:t>
      </w:r>
      <w:r>
        <w:rPr>
          <w:b/>
          <w:sz w:val="24"/>
        </w:rPr>
        <w:t>a</w:t>
      </w:r>
      <w:r>
        <w:rPr>
          <w:b/>
          <w:spacing w:val="-5"/>
          <w:sz w:val="24"/>
        </w:rPr>
        <w:t> </w:t>
      </w:r>
      <w:r>
        <w:rPr>
          <w:b/>
          <w:sz w:val="24"/>
        </w:rPr>
        <w:t>daily supplement</w:t>
      </w:r>
      <w:r>
        <w:rPr>
          <w:b/>
          <w:spacing w:val="-13"/>
          <w:sz w:val="24"/>
        </w:rPr>
        <w:t> </w:t>
      </w:r>
      <w:r>
        <w:rPr>
          <w:b/>
          <w:sz w:val="24"/>
        </w:rPr>
        <w:t>of</w:t>
      </w:r>
      <w:r>
        <w:rPr>
          <w:b/>
          <w:spacing w:val="-18"/>
          <w:sz w:val="24"/>
        </w:rPr>
        <w:t> </w:t>
      </w:r>
      <w:r>
        <w:rPr>
          <w:b/>
          <w:sz w:val="24"/>
        </w:rPr>
        <w:t>800</w:t>
      </w:r>
      <w:r>
        <w:rPr>
          <w:b/>
          <w:spacing w:val="-15"/>
          <w:sz w:val="24"/>
        </w:rPr>
        <w:t> </w:t>
      </w:r>
      <w:r>
        <w:rPr>
          <w:b/>
          <w:sz w:val="24"/>
        </w:rPr>
        <w:t>to</w:t>
      </w:r>
      <w:r>
        <w:rPr>
          <w:b/>
          <w:spacing w:val="-16"/>
          <w:sz w:val="24"/>
        </w:rPr>
        <w:t> </w:t>
      </w:r>
      <w:r>
        <w:rPr>
          <w:b/>
          <w:sz w:val="24"/>
        </w:rPr>
        <w:t>1,000</w:t>
      </w:r>
      <w:r>
        <w:rPr>
          <w:b/>
          <w:spacing w:val="-15"/>
          <w:sz w:val="24"/>
        </w:rPr>
        <w:t> </w:t>
      </w:r>
      <w:r>
        <w:rPr>
          <w:b/>
          <w:sz w:val="24"/>
        </w:rPr>
        <w:t>IU</w:t>
      </w:r>
      <w:r>
        <w:rPr>
          <w:b/>
          <w:spacing w:val="-15"/>
          <w:sz w:val="24"/>
        </w:rPr>
        <w:t> </w:t>
      </w:r>
      <w:r>
        <w:rPr>
          <w:b/>
          <w:sz w:val="24"/>
        </w:rPr>
        <w:t>of</w:t>
      </w:r>
      <w:r>
        <w:rPr>
          <w:b/>
          <w:spacing w:val="-14"/>
          <w:sz w:val="24"/>
        </w:rPr>
        <w:t> </w:t>
      </w:r>
      <w:r>
        <w:rPr>
          <w:b/>
          <w:sz w:val="24"/>
        </w:rPr>
        <w:t>vitamin</w:t>
      </w:r>
      <w:r>
        <w:rPr>
          <w:b/>
          <w:spacing w:val="-16"/>
          <w:sz w:val="24"/>
        </w:rPr>
        <w:t> </w:t>
      </w:r>
      <w:r>
        <w:rPr>
          <w:b/>
          <w:sz w:val="24"/>
        </w:rPr>
        <w:t>D</w:t>
      </w:r>
      <w:r>
        <w:rPr>
          <w:b/>
          <w:spacing w:val="-16"/>
          <w:sz w:val="24"/>
        </w:rPr>
        <w:t> </w:t>
      </w:r>
      <w:r>
        <w:rPr>
          <w:b/>
          <w:sz w:val="24"/>
        </w:rPr>
        <w:t>per</w:t>
      </w:r>
      <w:r>
        <w:rPr>
          <w:b/>
          <w:spacing w:val="-16"/>
          <w:sz w:val="24"/>
        </w:rPr>
        <w:t> </w:t>
      </w:r>
      <w:r>
        <w:rPr>
          <w:b/>
          <w:sz w:val="24"/>
        </w:rPr>
        <w:t>day</w:t>
      </w:r>
      <w:r>
        <w:rPr>
          <w:b/>
          <w:spacing w:val="-15"/>
          <w:sz w:val="24"/>
        </w:rPr>
        <w:t> </w:t>
      </w:r>
      <w:r>
        <w:rPr>
          <w:b/>
          <w:sz w:val="24"/>
        </w:rPr>
        <w:t>is</w:t>
      </w:r>
      <w:r>
        <w:rPr>
          <w:b/>
          <w:spacing w:val="-17"/>
          <w:sz w:val="24"/>
        </w:rPr>
        <w:t> </w:t>
      </w:r>
      <w:r>
        <w:rPr>
          <w:b/>
          <w:sz w:val="24"/>
        </w:rPr>
        <w:t>indicated</w:t>
      </w:r>
      <w:r>
        <w:rPr>
          <w:b/>
          <w:spacing w:val="-15"/>
          <w:sz w:val="24"/>
        </w:rPr>
        <w:t> </w:t>
      </w:r>
      <w:r>
        <w:rPr>
          <w:b/>
          <w:sz w:val="24"/>
        </w:rPr>
        <w:t>to</w:t>
      </w:r>
      <w:r>
        <w:rPr>
          <w:b/>
          <w:spacing w:val="-14"/>
          <w:sz w:val="24"/>
        </w:rPr>
        <w:t> </w:t>
      </w:r>
      <w:r>
        <w:rPr>
          <w:b/>
          <w:sz w:val="24"/>
        </w:rPr>
        <w:t>achieve</w:t>
      </w:r>
      <w:r>
        <w:rPr>
          <w:b/>
          <w:spacing w:val="-18"/>
          <w:sz w:val="24"/>
        </w:rPr>
        <w:t> </w:t>
      </w:r>
      <w:r>
        <w:rPr>
          <w:b/>
          <w:sz w:val="24"/>
        </w:rPr>
        <w:t>serum</w:t>
      </w:r>
      <w:r>
        <w:rPr>
          <w:b/>
          <w:spacing w:val="-15"/>
          <w:sz w:val="24"/>
        </w:rPr>
        <w:t> </w:t>
      </w:r>
      <w:r>
        <w:rPr>
          <w:b/>
          <w:sz w:val="24"/>
        </w:rPr>
        <w:t>25-hydroxyvitamin D levels above 50 nmol/L. Weekly doses of 7000IU can achieve adequate 25OHD levels but have not been studied for efficacy in reducing falls or fractures. Larger intermittent dose supplements should be avoided because of potential for</w:t>
      </w:r>
      <w:r>
        <w:rPr>
          <w:b/>
          <w:spacing w:val="-17"/>
          <w:sz w:val="24"/>
        </w:rPr>
        <w:t> </w:t>
      </w:r>
      <w:r>
        <w:rPr>
          <w:b/>
          <w:sz w:val="24"/>
        </w:rPr>
        <w:t>toxicity.</w:t>
      </w:r>
    </w:p>
    <w:p>
      <w:pPr>
        <w:spacing w:line="249" w:lineRule="auto" w:before="163"/>
        <w:ind w:left="117" w:right="166" w:firstLine="0"/>
        <w:jc w:val="both"/>
        <w:rPr>
          <w:b/>
          <w:sz w:val="24"/>
        </w:rPr>
      </w:pPr>
      <w:r>
        <w:rPr>
          <w:b/>
          <w:sz w:val="24"/>
        </w:rPr>
        <w:t>It should be noted that these evidence-based recommendations for calcium and vitamin D to reduce falling and fractures apply to older men and women who are at high risk of falling and fracturing</w:t>
      </w:r>
      <w:r>
        <w:rPr>
          <w:b/>
          <w:spacing w:val="-13"/>
          <w:sz w:val="24"/>
        </w:rPr>
        <w:t> </w:t>
      </w:r>
      <w:r>
        <w:rPr>
          <w:b/>
          <w:sz w:val="24"/>
        </w:rPr>
        <w:t>and</w:t>
      </w:r>
      <w:r>
        <w:rPr>
          <w:b/>
          <w:spacing w:val="-14"/>
          <w:sz w:val="24"/>
        </w:rPr>
        <w:t> </w:t>
      </w:r>
      <w:r>
        <w:rPr>
          <w:b/>
          <w:sz w:val="24"/>
        </w:rPr>
        <w:t>do</w:t>
      </w:r>
      <w:r>
        <w:rPr>
          <w:b/>
          <w:spacing w:val="-9"/>
          <w:sz w:val="24"/>
        </w:rPr>
        <w:t> </w:t>
      </w:r>
      <w:r>
        <w:rPr>
          <w:b/>
          <w:i/>
          <w:sz w:val="24"/>
        </w:rPr>
        <w:t>not</w:t>
      </w:r>
      <w:r>
        <w:rPr>
          <w:b/>
          <w:i/>
          <w:spacing w:val="-11"/>
          <w:sz w:val="24"/>
        </w:rPr>
        <w:t> </w:t>
      </w:r>
      <w:r>
        <w:rPr>
          <w:b/>
          <w:sz w:val="24"/>
        </w:rPr>
        <w:t>necessarily</w:t>
      </w:r>
      <w:r>
        <w:rPr>
          <w:b/>
          <w:spacing w:val="-13"/>
          <w:sz w:val="24"/>
        </w:rPr>
        <w:t> </w:t>
      </w:r>
      <w:r>
        <w:rPr>
          <w:b/>
          <w:sz w:val="24"/>
        </w:rPr>
        <w:t>apply</w:t>
      </w:r>
      <w:r>
        <w:rPr>
          <w:b/>
          <w:spacing w:val="-13"/>
          <w:sz w:val="24"/>
        </w:rPr>
        <w:t> </w:t>
      </w:r>
      <w:r>
        <w:rPr>
          <w:b/>
          <w:sz w:val="24"/>
        </w:rPr>
        <w:t>to</w:t>
      </w:r>
      <w:r>
        <w:rPr>
          <w:b/>
          <w:spacing w:val="-12"/>
          <w:sz w:val="24"/>
        </w:rPr>
        <w:t> </w:t>
      </w:r>
      <w:r>
        <w:rPr>
          <w:b/>
          <w:sz w:val="24"/>
        </w:rPr>
        <w:t>younger</w:t>
      </w:r>
      <w:r>
        <w:rPr>
          <w:b/>
          <w:spacing w:val="-11"/>
          <w:sz w:val="24"/>
        </w:rPr>
        <w:t> </w:t>
      </w:r>
      <w:r>
        <w:rPr>
          <w:b/>
          <w:sz w:val="24"/>
        </w:rPr>
        <w:t>populations.</w:t>
      </w:r>
      <w:r>
        <w:rPr>
          <w:b/>
          <w:spacing w:val="-7"/>
          <w:sz w:val="24"/>
        </w:rPr>
        <w:t> </w:t>
      </w:r>
      <w:r>
        <w:rPr>
          <w:b/>
          <w:sz w:val="24"/>
        </w:rPr>
        <w:t>Individuals</w:t>
      </w:r>
      <w:r>
        <w:rPr>
          <w:b/>
          <w:spacing w:val="-12"/>
          <w:sz w:val="24"/>
        </w:rPr>
        <w:t> </w:t>
      </w:r>
      <w:r>
        <w:rPr>
          <w:b/>
          <w:sz w:val="24"/>
        </w:rPr>
        <w:t>at</w:t>
      </w:r>
      <w:r>
        <w:rPr>
          <w:b/>
          <w:spacing w:val="-11"/>
          <w:sz w:val="24"/>
        </w:rPr>
        <w:t> </w:t>
      </w:r>
      <w:r>
        <w:rPr>
          <w:b/>
          <w:sz w:val="24"/>
        </w:rPr>
        <w:t>increased</w:t>
      </w:r>
      <w:r>
        <w:rPr>
          <w:b/>
          <w:spacing w:val="-11"/>
          <w:sz w:val="24"/>
        </w:rPr>
        <w:t> </w:t>
      </w:r>
      <w:r>
        <w:rPr>
          <w:b/>
          <w:sz w:val="24"/>
        </w:rPr>
        <w:t>risk</w:t>
      </w:r>
      <w:r>
        <w:rPr>
          <w:b/>
          <w:spacing w:val="-12"/>
          <w:sz w:val="24"/>
        </w:rPr>
        <w:t> </w:t>
      </w:r>
      <w:r>
        <w:rPr>
          <w:b/>
          <w:sz w:val="24"/>
        </w:rPr>
        <w:t>of</w:t>
      </w:r>
      <w:r>
        <w:rPr>
          <w:b/>
          <w:spacing w:val="-13"/>
          <w:sz w:val="24"/>
        </w:rPr>
        <w:t> </w:t>
      </w:r>
      <w:r>
        <w:rPr>
          <w:b/>
          <w:sz w:val="24"/>
        </w:rPr>
        <w:t>falls and fracture should seek advice from a health</w:t>
      </w:r>
      <w:r>
        <w:rPr>
          <w:b/>
          <w:spacing w:val="-21"/>
          <w:sz w:val="24"/>
        </w:rPr>
        <w:t> </w:t>
      </w:r>
      <w:r>
        <w:rPr>
          <w:b/>
          <w:sz w:val="24"/>
        </w:rPr>
        <w:t>professional.</w:t>
      </w:r>
    </w:p>
    <w:p>
      <w:pPr>
        <w:pStyle w:val="BodyText"/>
        <w:spacing w:before="8"/>
        <w:rPr>
          <w:b/>
          <w:sz w:val="18"/>
        </w:rPr>
      </w:pPr>
    </w:p>
    <w:p>
      <w:pPr>
        <w:spacing w:line="436" w:lineRule="auto" w:before="0"/>
        <w:ind w:left="117" w:right="709" w:firstLine="0"/>
        <w:jc w:val="left"/>
        <w:rPr>
          <w:b/>
          <w:sz w:val="24"/>
        </w:rPr>
      </w:pPr>
      <w:r>
        <w:rPr>
          <w:b/>
          <w:sz w:val="24"/>
        </w:rPr>
        <w:t>Adults at lower risk should meet the RDI for calcium and achieve adequate vitamin D status. Background</w:t>
      </w:r>
    </w:p>
    <w:p>
      <w:pPr>
        <w:pStyle w:val="BodyText"/>
        <w:spacing w:line="249" w:lineRule="auto" w:before="2"/>
        <w:ind w:left="117" w:right="167"/>
        <w:jc w:val="both"/>
      </w:pPr>
      <w:r>
        <w:rPr/>
        <w:t>In</w:t>
      </w:r>
      <w:r>
        <w:rPr>
          <w:spacing w:val="-7"/>
        </w:rPr>
        <w:t> </w:t>
      </w:r>
      <w:r>
        <w:rPr/>
        <w:t>recent</w:t>
      </w:r>
      <w:r>
        <w:rPr>
          <w:spacing w:val="-6"/>
        </w:rPr>
        <w:t> </w:t>
      </w:r>
      <w:r>
        <w:rPr/>
        <w:t>years</w:t>
      </w:r>
      <w:r>
        <w:rPr>
          <w:spacing w:val="-7"/>
        </w:rPr>
        <w:t> </w:t>
      </w:r>
      <w:r>
        <w:rPr/>
        <w:t>concern</w:t>
      </w:r>
      <w:r>
        <w:rPr>
          <w:spacing w:val="-9"/>
        </w:rPr>
        <w:t> </w:t>
      </w:r>
      <w:r>
        <w:rPr/>
        <w:t>has</w:t>
      </w:r>
      <w:r>
        <w:rPr>
          <w:spacing w:val="-7"/>
        </w:rPr>
        <w:t> </w:t>
      </w:r>
      <w:r>
        <w:rPr/>
        <w:t>been</w:t>
      </w:r>
      <w:r>
        <w:rPr>
          <w:spacing w:val="-6"/>
        </w:rPr>
        <w:t> </w:t>
      </w:r>
      <w:r>
        <w:rPr/>
        <w:t>expressed</w:t>
      </w:r>
      <w:r>
        <w:rPr>
          <w:spacing w:val="-8"/>
        </w:rPr>
        <w:t> </w:t>
      </w:r>
      <w:r>
        <w:rPr/>
        <w:t>relating</w:t>
      </w:r>
      <w:r>
        <w:rPr>
          <w:spacing w:val="-8"/>
        </w:rPr>
        <w:t> </w:t>
      </w:r>
      <w:r>
        <w:rPr/>
        <w:t>to</w:t>
      </w:r>
      <w:r>
        <w:rPr>
          <w:spacing w:val="-7"/>
        </w:rPr>
        <w:t> </w:t>
      </w:r>
      <w:r>
        <w:rPr/>
        <w:t>the</w:t>
      </w:r>
      <w:r>
        <w:rPr>
          <w:spacing w:val="-9"/>
        </w:rPr>
        <w:t> </w:t>
      </w:r>
      <w:r>
        <w:rPr/>
        <w:t>fact</w:t>
      </w:r>
      <w:r>
        <w:rPr>
          <w:spacing w:val="-9"/>
        </w:rPr>
        <w:t> </w:t>
      </w:r>
      <w:r>
        <w:rPr/>
        <w:t>that</w:t>
      </w:r>
      <w:r>
        <w:rPr>
          <w:spacing w:val="-8"/>
        </w:rPr>
        <w:t> </w:t>
      </w:r>
      <w:r>
        <w:rPr/>
        <w:t>large</w:t>
      </w:r>
      <w:r>
        <w:rPr>
          <w:spacing w:val="-9"/>
        </w:rPr>
        <w:t> </w:t>
      </w:r>
      <w:r>
        <w:rPr/>
        <w:t>numbers</w:t>
      </w:r>
      <w:r>
        <w:rPr>
          <w:spacing w:val="-10"/>
        </w:rPr>
        <w:t> </w:t>
      </w:r>
      <w:r>
        <w:rPr/>
        <w:t>of</w:t>
      </w:r>
      <w:r>
        <w:rPr>
          <w:spacing w:val="-8"/>
        </w:rPr>
        <w:t> </w:t>
      </w:r>
      <w:r>
        <w:rPr/>
        <w:t>Australians</w:t>
      </w:r>
      <w:r>
        <w:rPr>
          <w:spacing w:val="-8"/>
        </w:rPr>
        <w:t> </w:t>
      </w:r>
      <w:r>
        <w:rPr/>
        <w:t>are not</w:t>
      </w:r>
      <w:r>
        <w:rPr>
          <w:spacing w:val="-3"/>
        </w:rPr>
        <w:t> </w:t>
      </w:r>
      <w:r>
        <w:rPr/>
        <w:t>meeting</w:t>
      </w:r>
      <w:r>
        <w:rPr>
          <w:spacing w:val="-3"/>
        </w:rPr>
        <w:t> </w:t>
      </w:r>
      <w:r>
        <w:rPr/>
        <w:t>guidelines</w:t>
      </w:r>
      <w:r>
        <w:rPr>
          <w:spacing w:val="-5"/>
        </w:rPr>
        <w:t> </w:t>
      </w:r>
      <w:r>
        <w:rPr/>
        <w:t>for either</w:t>
      </w:r>
      <w:r>
        <w:rPr>
          <w:spacing w:val="-2"/>
        </w:rPr>
        <w:t> </w:t>
      </w:r>
      <w:r>
        <w:rPr/>
        <w:t>calcium</w:t>
      </w:r>
      <w:r>
        <w:rPr>
          <w:spacing w:val="-3"/>
        </w:rPr>
        <w:t> </w:t>
      </w:r>
      <w:r>
        <w:rPr/>
        <w:t>intake</w:t>
      </w:r>
      <w:r>
        <w:rPr>
          <w:spacing w:val="-7"/>
        </w:rPr>
        <w:t> </w:t>
      </w:r>
      <w:r>
        <w:rPr/>
        <w:t>or</w:t>
      </w:r>
      <w:r>
        <w:rPr>
          <w:spacing w:val="-3"/>
        </w:rPr>
        <w:t> </w:t>
      </w:r>
      <w:r>
        <w:rPr/>
        <w:t>vitamin</w:t>
      </w:r>
      <w:r>
        <w:rPr>
          <w:spacing w:val="-3"/>
        </w:rPr>
        <w:t> </w:t>
      </w:r>
      <w:r>
        <w:rPr/>
        <w:t>D</w:t>
      </w:r>
      <w:r>
        <w:rPr>
          <w:spacing w:val="-4"/>
        </w:rPr>
        <w:t> </w:t>
      </w:r>
      <w:r>
        <w:rPr/>
        <w:t>status.</w:t>
      </w:r>
      <w:r>
        <w:rPr>
          <w:spacing w:val="-4"/>
        </w:rPr>
        <w:t> </w:t>
      </w:r>
      <w:r>
        <w:rPr/>
        <w:t>Equally</w:t>
      </w:r>
      <w:r>
        <w:rPr>
          <w:spacing w:val="-4"/>
        </w:rPr>
        <w:t> </w:t>
      </w:r>
      <w:r>
        <w:rPr/>
        <w:t>there</w:t>
      </w:r>
      <w:r>
        <w:rPr>
          <w:spacing w:val="-5"/>
        </w:rPr>
        <w:t> </w:t>
      </w:r>
      <w:r>
        <w:rPr/>
        <w:t>has</w:t>
      </w:r>
      <w:r>
        <w:rPr>
          <w:spacing w:val="-5"/>
        </w:rPr>
        <w:t> </w:t>
      </w:r>
      <w:r>
        <w:rPr/>
        <w:t>been</w:t>
      </w:r>
      <w:r>
        <w:rPr>
          <w:spacing w:val="-4"/>
        </w:rPr>
        <w:t> </w:t>
      </w:r>
      <w:r>
        <w:rPr/>
        <w:t>concern expressed as to the health benefit to be derived from testing for vitamin D deficiency using blood tests for 25OHD. As a consequence there has been much discussion of the ideal amount of calcium and vitamin D required to reduce skeletal deterioration as we age. In addition, some investigators have raised concerns about an adverse events in people taking calcium supplements. In 2017 the Scientific Committee of Osteoporosis Australia was asked to update a statement for all Australians on optimal calcium and vitamin D nutrition as part of a healthy lifestyle approach to reducing falls and fractures. Recently important new evidence on ideal calcium and vitamin D dosing has become available as well as new data on the effects of vitamin D on the risk of falling in older</w:t>
      </w:r>
      <w:r>
        <w:rPr>
          <w:spacing w:val="-29"/>
        </w:rPr>
        <w:t> </w:t>
      </w:r>
      <w:r>
        <w:rPr/>
        <w:t>women.</w:t>
      </w:r>
    </w:p>
    <w:p>
      <w:pPr>
        <w:spacing w:after="0" w:line="249" w:lineRule="auto"/>
        <w:jc w:val="both"/>
        <w:sectPr>
          <w:type w:val="continuous"/>
          <w:pgSz w:w="12240" w:h="15840"/>
          <w:pgMar w:top="460" w:bottom="280" w:left="1160" w:right="1060"/>
        </w:sectPr>
      </w:pPr>
    </w:p>
    <w:p>
      <w:pPr>
        <w:pStyle w:val="Heading2"/>
        <w:jc w:val="both"/>
        <w:rPr>
          <w:i/>
        </w:rPr>
      </w:pPr>
      <w:r>
        <w:rPr/>
        <w:drawing>
          <wp:anchor distT="0" distB="0" distL="0" distR="0" allowOverlap="1" layoutInCell="1" locked="0" behindDoc="0" simplePos="0" relativeHeight="0">
            <wp:simplePos x="0" y="0"/>
            <wp:positionH relativeFrom="page">
              <wp:posOffset>982980</wp:posOffset>
            </wp:positionH>
            <wp:positionV relativeFrom="page">
              <wp:posOffset>10050780</wp:posOffset>
            </wp:positionV>
            <wp:extent cx="6789420" cy="761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789420" cy="7619"/>
                    </a:xfrm>
                    <a:prstGeom prst="rect">
                      <a:avLst/>
                    </a:prstGeom>
                  </pic:spPr>
                </pic:pic>
              </a:graphicData>
            </a:graphic>
          </wp:anchor>
        </w:drawing>
      </w:r>
      <w:r>
        <w:rPr>
          <w:i/>
        </w:rPr>
        <w:t>Calcium</w:t>
      </w:r>
    </w:p>
    <w:p>
      <w:pPr>
        <w:pStyle w:val="BodyText"/>
        <w:spacing w:before="7"/>
        <w:rPr>
          <w:b/>
          <w:i/>
          <w:sz w:val="19"/>
        </w:rPr>
      </w:pPr>
    </w:p>
    <w:p>
      <w:pPr>
        <w:pStyle w:val="BodyText"/>
        <w:spacing w:before="1"/>
        <w:ind w:left="117" w:right="1225"/>
        <w:jc w:val="both"/>
      </w:pPr>
      <w:r>
        <w:rPr/>
        <w:t>Adequate</w:t>
      </w:r>
      <w:r>
        <w:rPr>
          <w:spacing w:val="-9"/>
        </w:rPr>
        <w:t> </w:t>
      </w:r>
      <w:r>
        <w:rPr/>
        <w:t>calcium</w:t>
      </w:r>
      <w:r>
        <w:rPr>
          <w:spacing w:val="-9"/>
        </w:rPr>
        <w:t> </w:t>
      </w:r>
      <w:r>
        <w:rPr/>
        <w:t>intake</w:t>
      </w:r>
      <w:r>
        <w:rPr>
          <w:spacing w:val="-12"/>
        </w:rPr>
        <w:t> </w:t>
      </w:r>
      <w:r>
        <w:rPr/>
        <w:t>helps</w:t>
      </w:r>
      <w:r>
        <w:rPr>
          <w:spacing w:val="-8"/>
        </w:rPr>
        <w:t> </w:t>
      </w:r>
      <w:r>
        <w:rPr/>
        <w:t>maintain</w:t>
      </w:r>
      <w:r>
        <w:rPr>
          <w:spacing w:val="-11"/>
        </w:rPr>
        <w:t> </w:t>
      </w:r>
      <w:r>
        <w:rPr/>
        <w:t>the</w:t>
      </w:r>
      <w:r>
        <w:rPr>
          <w:spacing w:val="-9"/>
        </w:rPr>
        <w:t> </w:t>
      </w:r>
      <w:r>
        <w:rPr/>
        <w:t>optimal</w:t>
      </w:r>
      <w:r>
        <w:rPr>
          <w:spacing w:val="-9"/>
        </w:rPr>
        <w:t> </w:t>
      </w:r>
      <w:r>
        <w:rPr/>
        <w:t>level</w:t>
      </w:r>
      <w:r>
        <w:rPr>
          <w:spacing w:val="-10"/>
        </w:rPr>
        <w:t> </w:t>
      </w:r>
      <w:r>
        <w:rPr/>
        <w:t>of</w:t>
      </w:r>
      <w:r>
        <w:rPr>
          <w:spacing w:val="-9"/>
        </w:rPr>
        <w:t> </w:t>
      </w:r>
      <w:r>
        <w:rPr/>
        <w:t>serum</w:t>
      </w:r>
      <w:r>
        <w:rPr>
          <w:spacing w:val="-9"/>
        </w:rPr>
        <w:t> </w:t>
      </w:r>
      <w:r>
        <w:rPr/>
        <w:t>ionized</w:t>
      </w:r>
      <w:r>
        <w:rPr>
          <w:spacing w:val="-11"/>
        </w:rPr>
        <w:t> </w:t>
      </w:r>
      <w:r>
        <w:rPr/>
        <w:t>calcium</w:t>
      </w:r>
      <w:r>
        <w:rPr>
          <w:spacing w:val="-9"/>
        </w:rPr>
        <w:t> </w:t>
      </w:r>
      <w:r>
        <w:rPr/>
        <w:t>without</w:t>
      </w:r>
      <w:r>
        <w:rPr>
          <w:spacing w:val="-11"/>
        </w:rPr>
        <w:t> </w:t>
      </w:r>
      <w:r>
        <w:rPr/>
        <w:t>the</w:t>
      </w:r>
      <w:r>
        <w:rPr>
          <w:spacing w:val="-9"/>
        </w:rPr>
        <w:t> </w:t>
      </w:r>
      <w:r>
        <w:rPr/>
        <w:t>need to</w:t>
      </w:r>
      <w:r>
        <w:rPr>
          <w:spacing w:val="-12"/>
        </w:rPr>
        <w:t> </w:t>
      </w:r>
      <w:r>
        <w:rPr/>
        <w:t>make</w:t>
      </w:r>
      <w:r>
        <w:rPr>
          <w:spacing w:val="-14"/>
        </w:rPr>
        <w:t> </w:t>
      </w:r>
      <w:r>
        <w:rPr/>
        <w:t>up</w:t>
      </w:r>
      <w:r>
        <w:rPr>
          <w:spacing w:val="-13"/>
        </w:rPr>
        <w:t> </w:t>
      </w:r>
      <w:r>
        <w:rPr/>
        <w:t>the</w:t>
      </w:r>
      <w:r>
        <w:rPr>
          <w:spacing w:val="-12"/>
        </w:rPr>
        <w:t> </w:t>
      </w:r>
      <w:r>
        <w:rPr/>
        <w:t>deficit</w:t>
      </w:r>
      <w:r>
        <w:rPr>
          <w:spacing w:val="-13"/>
        </w:rPr>
        <w:t> </w:t>
      </w:r>
      <w:r>
        <w:rPr/>
        <w:t>from</w:t>
      </w:r>
      <w:r>
        <w:rPr>
          <w:spacing w:val="-12"/>
        </w:rPr>
        <w:t> </w:t>
      </w:r>
      <w:r>
        <w:rPr/>
        <w:t>bone</w:t>
      </w:r>
      <w:r>
        <w:rPr>
          <w:spacing w:val="-12"/>
        </w:rPr>
        <w:t> </w:t>
      </w:r>
      <w:r>
        <w:rPr/>
        <w:t>calcium.</w:t>
      </w:r>
      <w:r>
        <w:rPr>
          <w:spacing w:val="-13"/>
        </w:rPr>
        <w:t> </w:t>
      </w:r>
      <w:r>
        <w:rPr/>
        <w:t>Bone</w:t>
      </w:r>
      <w:r>
        <w:rPr>
          <w:spacing w:val="-12"/>
        </w:rPr>
        <w:t> </w:t>
      </w:r>
      <w:r>
        <w:rPr/>
        <w:t>calcium</w:t>
      </w:r>
      <w:r>
        <w:rPr>
          <w:spacing w:val="-12"/>
        </w:rPr>
        <w:t> </w:t>
      </w:r>
      <w:r>
        <w:rPr/>
        <w:t>is</w:t>
      </w:r>
      <w:r>
        <w:rPr>
          <w:spacing w:val="-13"/>
        </w:rPr>
        <w:t> </w:t>
      </w:r>
      <w:r>
        <w:rPr/>
        <w:t>important</w:t>
      </w:r>
      <w:r>
        <w:rPr>
          <w:spacing w:val="-13"/>
        </w:rPr>
        <w:t> </w:t>
      </w:r>
      <w:r>
        <w:rPr/>
        <w:t>for</w:t>
      </w:r>
      <w:r>
        <w:rPr>
          <w:spacing w:val="-12"/>
        </w:rPr>
        <w:t> </w:t>
      </w:r>
      <w:r>
        <w:rPr/>
        <w:t>bone</w:t>
      </w:r>
      <w:r>
        <w:rPr>
          <w:spacing w:val="-12"/>
        </w:rPr>
        <w:t> </w:t>
      </w:r>
      <w:r>
        <w:rPr/>
        <w:t>strength</w:t>
      </w:r>
      <w:r>
        <w:rPr>
          <w:spacing w:val="-11"/>
        </w:rPr>
        <w:t> </w:t>
      </w:r>
      <w:r>
        <w:rPr/>
        <w:t>by</w:t>
      </w:r>
      <w:r>
        <w:rPr>
          <w:spacing w:val="-13"/>
        </w:rPr>
        <w:t> </w:t>
      </w:r>
      <w:r>
        <w:rPr/>
        <w:t>integration into crystals in the protein matrix thus increasing bone resistance to bending. The NHMRC recommended daily calcium intake is 1,000mg for men aged 50 to 70 years and 1300mg calcium for men</w:t>
      </w:r>
      <w:r>
        <w:rPr>
          <w:spacing w:val="-5"/>
        </w:rPr>
        <w:t> </w:t>
      </w:r>
      <w:r>
        <w:rPr/>
        <w:t>over</w:t>
      </w:r>
      <w:r>
        <w:rPr>
          <w:spacing w:val="-8"/>
        </w:rPr>
        <w:t> </w:t>
      </w:r>
      <w:r>
        <w:rPr/>
        <w:t>70</w:t>
      </w:r>
      <w:r>
        <w:rPr>
          <w:spacing w:val="-5"/>
        </w:rPr>
        <w:t> </w:t>
      </w:r>
      <w:r>
        <w:rPr/>
        <w:t>years</w:t>
      </w:r>
      <w:r>
        <w:rPr>
          <w:spacing w:val="-9"/>
        </w:rPr>
        <w:t> </w:t>
      </w:r>
      <w:r>
        <w:rPr/>
        <w:t>and</w:t>
      </w:r>
      <w:r>
        <w:rPr>
          <w:spacing w:val="-7"/>
        </w:rPr>
        <w:t> </w:t>
      </w:r>
      <w:r>
        <w:rPr/>
        <w:t>women</w:t>
      </w:r>
      <w:r>
        <w:rPr>
          <w:spacing w:val="-4"/>
        </w:rPr>
        <w:t> </w:t>
      </w:r>
      <w:r>
        <w:rPr/>
        <w:t>aged</w:t>
      </w:r>
      <w:r>
        <w:rPr>
          <w:spacing w:val="-5"/>
        </w:rPr>
        <w:t> </w:t>
      </w:r>
      <w:r>
        <w:rPr/>
        <w:t>over</w:t>
      </w:r>
      <w:r>
        <w:rPr>
          <w:spacing w:val="-6"/>
        </w:rPr>
        <w:t> </w:t>
      </w:r>
      <w:r>
        <w:rPr/>
        <w:t>50</w:t>
      </w:r>
      <w:r>
        <w:rPr>
          <w:spacing w:val="-6"/>
        </w:rPr>
        <w:t> </w:t>
      </w:r>
      <w:r>
        <w:rPr/>
        <w:t>(Table</w:t>
      </w:r>
      <w:r>
        <w:rPr>
          <w:spacing w:val="-6"/>
        </w:rPr>
        <w:t> </w:t>
      </w:r>
      <w:r>
        <w:rPr/>
        <w:t>1)</w:t>
      </w:r>
      <w:r>
        <w:rPr>
          <w:spacing w:val="-6"/>
        </w:rPr>
        <w:t> </w:t>
      </w:r>
      <w:r>
        <w:rPr>
          <w:position w:val="8"/>
          <w:sz w:val="16"/>
        </w:rPr>
        <w:t>1,2</w:t>
      </w:r>
      <w:r>
        <w:rPr/>
        <w:t>.</w:t>
      </w:r>
      <w:r>
        <w:rPr>
          <w:spacing w:val="-7"/>
        </w:rPr>
        <w:t> </w:t>
      </w:r>
      <w:r>
        <w:rPr/>
        <w:t>However</w:t>
      </w:r>
      <w:r>
        <w:rPr>
          <w:spacing w:val="-7"/>
        </w:rPr>
        <w:t> </w:t>
      </w:r>
      <w:r>
        <w:rPr/>
        <w:t>the</w:t>
      </w:r>
      <w:r>
        <w:rPr>
          <w:spacing w:val="-8"/>
        </w:rPr>
        <w:t> </w:t>
      </w:r>
      <w:r>
        <w:rPr/>
        <w:t>last</w:t>
      </w:r>
      <w:r>
        <w:rPr>
          <w:spacing w:val="-8"/>
        </w:rPr>
        <w:t> </w:t>
      </w:r>
      <w:r>
        <w:rPr/>
        <w:t>National</w:t>
      </w:r>
      <w:r>
        <w:rPr>
          <w:spacing w:val="-8"/>
        </w:rPr>
        <w:t> </w:t>
      </w:r>
      <w:r>
        <w:rPr/>
        <w:t>Nutrition</w:t>
      </w:r>
      <w:r>
        <w:rPr>
          <w:spacing w:val="-5"/>
        </w:rPr>
        <w:t> </w:t>
      </w:r>
      <w:r>
        <w:rPr/>
        <w:t>Survey reported</w:t>
      </w:r>
      <w:r>
        <w:rPr>
          <w:spacing w:val="-6"/>
        </w:rPr>
        <w:t> </w:t>
      </w:r>
      <w:r>
        <w:rPr/>
        <w:t>that</w:t>
      </w:r>
      <w:r>
        <w:rPr>
          <w:spacing w:val="-6"/>
        </w:rPr>
        <w:t> </w:t>
      </w:r>
      <w:r>
        <w:rPr/>
        <w:t>the</w:t>
      </w:r>
      <w:r>
        <w:rPr>
          <w:spacing w:val="-7"/>
        </w:rPr>
        <w:t> </w:t>
      </w:r>
      <w:r>
        <w:rPr/>
        <w:t>mean</w:t>
      </w:r>
      <w:r>
        <w:rPr>
          <w:spacing w:val="-6"/>
        </w:rPr>
        <w:t> </w:t>
      </w:r>
      <w:r>
        <w:rPr/>
        <w:t>daily</w:t>
      </w:r>
      <w:r>
        <w:rPr>
          <w:spacing w:val="-5"/>
        </w:rPr>
        <w:t> </w:t>
      </w:r>
      <w:r>
        <w:rPr/>
        <w:t>food</w:t>
      </w:r>
      <w:r>
        <w:rPr>
          <w:spacing w:val="-6"/>
        </w:rPr>
        <w:t> </w:t>
      </w:r>
      <w:r>
        <w:rPr/>
        <w:t>and</w:t>
      </w:r>
      <w:r>
        <w:rPr>
          <w:spacing w:val="-6"/>
        </w:rPr>
        <w:t> </w:t>
      </w:r>
      <w:r>
        <w:rPr/>
        <w:t>beverage</w:t>
      </w:r>
      <w:r>
        <w:rPr>
          <w:spacing w:val="-7"/>
        </w:rPr>
        <w:t> </w:t>
      </w:r>
      <w:r>
        <w:rPr/>
        <w:t>calcium</w:t>
      </w:r>
      <w:r>
        <w:rPr>
          <w:spacing w:val="-5"/>
        </w:rPr>
        <w:t> </w:t>
      </w:r>
      <w:r>
        <w:rPr/>
        <w:t>intake</w:t>
      </w:r>
      <w:r>
        <w:rPr>
          <w:spacing w:val="-4"/>
        </w:rPr>
        <w:t> </w:t>
      </w:r>
      <w:r>
        <w:rPr/>
        <w:t>in</w:t>
      </w:r>
      <w:r>
        <w:rPr>
          <w:spacing w:val="-1"/>
        </w:rPr>
        <w:t> </w:t>
      </w:r>
      <w:r>
        <w:rPr/>
        <w:t>adults</w:t>
      </w:r>
      <w:r>
        <w:rPr>
          <w:spacing w:val="-5"/>
        </w:rPr>
        <w:t> </w:t>
      </w:r>
      <w:r>
        <w:rPr/>
        <w:t>aged</w:t>
      </w:r>
      <w:r>
        <w:rPr>
          <w:spacing w:val="-2"/>
        </w:rPr>
        <w:t> </w:t>
      </w:r>
      <w:r>
        <w:rPr/>
        <w:t>over</w:t>
      </w:r>
      <w:r>
        <w:rPr>
          <w:spacing w:val="-5"/>
        </w:rPr>
        <w:t> </w:t>
      </w:r>
      <w:r>
        <w:rPr/>
        <w:t>50</w:t>
      </w:r>
      <w:r>
        <w:rPr>
          <w:spacing w:val="-4"/>
        </w:rPr>
        <w:t> </w:t>
      </w:r>
      <w:r>
        <w:rPr/>
        <w:t>years</w:t>
      </w:r>
      <w:r>
        <w:rPr>
          <w:spacing w:val="-7"/>
        </w:rPr>
        <w:t> </w:t>
      </w:r>
      <w:r>
        <w:rPr/>
        <w:t>is</w:t>
      </w:r>
      <w:r>
        <w:rPr>
          <w:spacing w:val="-5"/>
        </w:rPr>
        <w:t> </w:t>
      </w:r>
      <w:r>
        <w:rPr/>
        <w:t>about 800</w:t>
      </w:r>
      <w:r>
        <w:rPr>
          <w:spacing w:val="-3"/>
        </w:rPr>
        <w:t> </w:t>
      </w:r>
      <w:r>
        <w:rPr/>
        <w:t>mg/day</w:t>
      </w:r>
      <w:r>
        <w:rPr>
          <w:spacing w:val="-4"/>
        </w:rPr>
        <w:t> </w:t>
      </w:r>
      <w:r>
        <w:rPr/>
        <w:t>and</w:t>
      </w:r>
      <w:r>
        <w:rPr>
          <w:spacing w:val="-5"/>
        </w:rPr>
        <w:t> </w:t>
      </w:r>
      <w:r>
        <w:rPr/>
        <w:t>that</w:t>
      </w:r>
      <w:r>
        <w:rPr>
          <w:spacing w:val="-3"/>
        </w:rPr>
        <w:t> </w:t>
      </w:r>
      <w:r>
        <w:rPr/>
        <w:t>only</w:t>
      </w:r>
      <w:r>
        <w:rPr>
          <w:spacing w:val="-5"/>
        </w:rPr>
        <w:t> </w:t>
      </w:r>
      <w:r>
        <w:rPr/>
        <w:t>10%</w:t>
      </w:r>
      <w:r>
        <w:rPr>
          <w:spacing w:val="-5"/>
        </w:rPr>
        <w:t> </w:t>
      </w:r>
      <w:r>
        <w:rPr/>
        <w:t>of</w:t>
      </w:r>
      <w:r>
        <w:rPr>
          <w:spacing w:val="-2"/>
        </w:rPr>
        <w:t> </w:t>
      </w:r>
      <w:r>
        <w:rPr/>
        <w:t>older</w:t>
      </w:r>
      <w:r>
        <w:rPr>
          <w:spacing w:val="-4"/>
        </w:rPr>
        <w:t> </w:t>
      </w:r>
      <w:r>
        <w:rPr/>
        <w:t>women</w:t>
      </w:r>
      <w:r>
        <w:rPr>
          <w:spacing w:val="-3"/>
        </w:rPr>
        <w:t> </w:t>
      </w:r>
      <w:r>
        <w:rPr/>
        <w:t>and</w:t>
      </w:r>
      <w:r>
        <w:rPr>
          <w:spacing w:val="-3"/>
        </w:rPr>
        <w:t> </w:t>
      </w:r>
      <w:r>
        <w:rPr/>
        <w:t>10</w:t>
      </w:r>
      <w:r>
        <w:rPr>
          <w:spacing w:val="-1"/>
        </w:rPr>
        <w:t> </w:t>
      </w:r>
      <w:r>
        <w:rPr/>
        <w:t>-30%</w:t>
      </w:r>
      <w:r>
        <w:rPr>
          <w:spacing w:val="-5"/>
        </w:rPr>
        <w:t> </w:t>
      </w:r>
      <w:r>
        <w:rPr/>
        <w:t>of</w:t>
      </w:r>
      <w:r>
        <w:rPr>
          <w:spacing w:val="-3"/>
        </w:rPr>
        <w:t> </w:t>
      </w:r>
      <w:r>
        <w:rPr/>
        <w:t>older</w:t>
      </w:r>
      <w:r>
        <w:rPr>
          <w:spacing w:val="-4"/>
        </w:rPr>
        <w:t> </w:t>
      </w:r>
      <w:r>
        <w:rPr/>
        <w:t>men,</w:t>
      </w:r>
      <w:r>
        <w:rPr>
          <w:spacing w:val="-4"/>
        </w:rPr>
        <w:t> </w:t>
      </w:r>
      <w:r>
        <w:rPr/>
        <w:t>are</w:t>
      </w:r>
      <w:r>
        <w:rPr>
          <w:spacing w:val="-3"/>
        </w:rPr>
        <w:t> </w:t>
      </w:r>
      <w:r>
        <w:rPr/>
        <w:t>achieving</w:t>
      </w:r>
      <w:r>
        <w:rPr>
          <w:spacing w:val="-7"/>
        </w:rPr>
        <w:t> </w:t>
      </w:r>
      <w:r>
        <w:rPr/>
        <w:t>the</w:t>
      </w:r>
      <w:r>
        <w:rPr>
          <w:spacing w:val="-3"/>
        </w:rPr>
        <w:t> </w:t>
      </w:r>
      <w:r>
        <w:rPr/>
        <w:t>optimal intakes from dietary sources alone</w:t>
      </w:r>
      <w:r>
        <w:rPr>
          <w:position w:val="8"/>
          <w:sz w:val="16"/>
        </w:rPr>
        <w:t>3</w:t>
      </w:r>
      <w:r>
        <w:rPr/>
        <w:t>. In the survey, calcium supplements were consumed by 28% of older women and 15% of older men. In women the median dietary calcium intake was 692mg. In women taking calcium supplements the median intake rose to 1,270mg. For men not taking</w:t>
      </w:r>
      <w:r>
        <w:rPr>
          <w:spacing w:val="-38"/>
        </w:rPr>
        <w:t> </w:t>
      </w:r>
      <w:r>
        <w:rPr/>
        <w:t>calcium supplements the median daily intake was 620mg rising to over 1000mg in those taking calcium supplements </w:t>
      </w:r>
      <w:r>
        <w:rPr>
          <w:position w:val="8"/>
          <w:sz w:val="16"/>
        </w:rPr>
        <w:t>4</w:t>
      </w:r>
      <w:r>
        <w:rPr/>
        <w:t>. The data demonstrated that even with supplements about 60% of older women and 30%</w:t>
      </w:r>
      <w:r>
        <w:rPr>
          <w:spacing w:val="-6"/>
        </w:rPr>
        <w:t> </w:t>
      </w:r>
      <w:r>
        <w:rPr/>
        <w:t>of</w:t>
      </w:r>
      <w:r>
        <w:rPr>
          <w:spacing w:val="-6"/>
        </w:rPr>
        <w:t> </w:t>
      </w:r>
      <w:r>
        <w:rPr/>
        <w:t>older</w:t>
      </w:r>
      <w:r>
        <w:rPr>
          <w:spacing w:val="-7"/>
        </w:rPr>
        <w:t> </w:t>
      </w:r>
      <w:r>
        <w:rPr/>
        <w:t>men</w:t>
      </w:r>
      <w:r>
        <w:rPr>
          <w:spacing w:val="-6"/>
        </w:rPr>
        <w:t> </w:t>
      </w:r>
      <w:r>
        <w:rPr/>
        <w:t>are</w:t>
      </w:r>
      <w:r>
        <w:rPr>
          <w:spacing w:val="-6"/>
        </w:rPr>
        <w:t> </w:t>
      </w:r>
      <w:r>
        <w:rPr>
          <w:b/>
          <w:i/>
        </w:rPr>
        <w:t>not</w:t>
      </w:r>
      <w:r>
        <w:rPr>
          <w:b/>
          <w:i/>
          <w:spacing w:val="-4"/>
        </w:rPr>
        <w:t> </w:t>
      </w:r>
      <w:r>
        <w:rPr/>
        <w:t>achieving</w:t>
      </w:r>
      <w:r>
        <w:rPr>
          <w:spacing w:val="-8"/>
        </w:rPr>
        <w:t> </w:t>
      </w:r>
      <w:r>
        <w:rPr/>
        <w:t>recommended</w:t>
      </w:r>
      <w:r>
        <w:rPr>
          <w:spacing w:val="-4"/>
        </w:rPr>
        <w:t> </w:t>
      </w:r>
      <w:r>
        <w:rPr/>
        <w:t>calcium</w:t>
      </w:r>
      <w:r>
        <w:rPr>
          <w:spacing w:val="-7"/>
        </w:rPr>
        <w:t> </w:t>
      </w:r>
      <w:r>
        <w:rPr/>
        <w:t>intakes.</w:t>
      </w:r>
      <w:r>
        <w:rPr>
          <w:spacing w:val="-6"/>
        </w:rPr>
        <w:t> </w:t>
      </w:r>
      <w:r>
        <w:rPr/>
        <w:t>Unfortunately</w:t>
      </w:r>
      <w:r>
        <w:rPr>
          <w:spacing w:val="-8"/>
        </w:rPr>
        <w:t> </w:t>
      </w:r>
      <w:r>
        <w:rPr/>
        <w:t>there</w:t>
      </w:r>
      <w:r>
        <w:rPr>
          <w:spacing w:val="-7"/>
        </w:rPr>
        <w:t> </w:t>
      </w:r>
      <w:r>
        <w:rPr/>
        <w:t>are</w:t>
      </w:r>
      <w:r>
        <w:rPr>
          <w:spacing w:val="-6"/>
        </w:rPr>
        <w:t> </w:t>
      </w:r>
      <w:r>
        <w:rPr/>
        <w:t>no</w:t>
      </w:r>
      <w:r>
        <w:rPr>
          <w:spacing w:val="-9"/>
        </w:rPr>
        <w:t> </w:t>
      </w:r>
      <w:r>
        <w:rPr/>
        <w:t>tests that reliably diagnose a low calcium diet. For example, a normal calcium level in the blood does not mean the dietary calcium intake is also normal. Osteoporosis Australia provides information on the calcium</w:t>
      </w:r>
      <w:r>
        <w:rPr>
          <w:spacing w:val="-4"/>
        </w:rPr>
        <w:t> </w:t>
      </w:r>
      <w:r>
        <w:rPr/>
        <w:t>content</w:t>
      </w:r>
      <w:r>
        <w:rPr>
          <w:spacing w:val="-5"/>
        </w:rPr>
        <w:t> </w:t>
      </w:r>
      <w:r>
        <w:rPr/>
        <w:t>of</w:t>
      </w:r>
      <w:r>
        <w:rPr>
          <w:spacing w:val="-3"/>
        </w:rPr>
        <w:t> </w:t>
      </w:r>
      <w:r>
        <w:rPr/>
        <w:t>various</w:t>
      </w:r>
      <w:r>
        <w:rPr>
          <w:spacing w:val="-4"/>
        </w:rPr>
        <w:t> </w:t>
      </w:r>
      <w:r>
        <w:rPr/>
        <w:t>foods</w:t>
      </w:r>
      <w:r>
        <w:rPr>
          <w:spacing w:val="-4"/>
        </w:rPr>
        <w:t> </w:t>
      </w:r>
      <w:r>
        <w:rPr/>
        <w:t>on</w:t>
      </w:r>
      <w:r>
        <w:rPr>
          <w:spacing w:val="-3"/>
        </w:rPr>
        <w:t> </w:t>
      </w:r>
      <w:r>
        <w:rPr/>
        <w:t>their</w:t>
      </w:r>
      <w:r>
        <w:rPr>
          <w:spacing w:val="-3"/>
        </w:rPr>
        <w:t> </w:t>
      </w:r>
      <w:r>
        <w:rPr/>
        <w:t>website</w:t>
      </w:r>
      <w:r>
        <w:rPr>
          <w:spacing w:val="-3"/>
        </w:rPr>
        <w:t> </w:t>
      </w:r>
      <w:r>
        <w:rPr/>
        <w:t>that</w:t>
      </w:r>
      <w:r>
        <w:rPr>
          <w:spacing w:val="-3"/>
        </w:rPr>
        <w:t> </w:t>
      </w:r>
      <w:r>
        <w:rPr/>
        <w:t>allows</w:t>
      </w:r>
      <w:r>
        <w:rPr>
          <w:spacing w:val="-4"/>
        </w:rPr>
        <w:t> </w:t>
      </w:r>
      <w:r>
        <w:rPr/>
        <w:t>you</w:t>
      </w:r>
      <w:r>
        <w:rPr>
          <w:spacing w:val="-5"/>
        </w:rPr>
        <w:t> </w:t>
      </w:r>
      <w:r>
        <w:rPr/>
        <w:t>to</w:t>
      </w:r>
      <w:r>
        <w:rPr>
          <w:spacing w:val="-3"/>
        </w:rPr>
        <w:t> </w:t>
      </w:r>
      <w:r>
        <w:rPr/>
        <w:t>calculate</w:t>
      </w:r>
      <w:r>
        <w:rPr>
          <w:spacing w:val="-3"/>
        </w:rPr>
        <w:t> </w:t>
      </w:r>
      <w:r>
        <w:rPr/>
        <w:t>your</w:t>
      </w:r>
      <w:r>
        <w:rPr>
          <w:spacing w:val="-4"/>
        </w:rPr>
        <w:t> </w:t>
      </w:r>
      <w:r>
        <w:rPr/>
        <w:t>calcium</w:t>
      </w:r>
      <w:r>
        <w:rPr>
          <w:spacing w:val="-6"/>
        </w:rPr>
        <w:t> </w:t>
      </w:r>
      <w:r>
        <w:rPr/>
        <w:t>intake</w:t>
      </w:r>
      <w:r>
        <w:rPr>
          <w:spacing w:val="-3"/>
        </w:rPr>
        <w:t> </w:t>
      </w:r>
      <w:r>
        <w:rPr/>
        <w:t>at </w:t>
      </w:r>
      <w:hyperlink r:id="rId7">
        <w:r>
          <w:rPr>
            <w:color w:val="0462C1"/>
            <w:u w:val="single" w:color="0462C1"/>
          </w:rPr>
          <w:t>https://www.osteoporosis.org.au/sites/default/files/files/calcium-food-table-web.pdf</w:t>
        </w:r>
      </w:hyperlink>
    </w:p>
    <w:p>
      <w:pPr>
        <w:pStyle w:val="BodyText"/>
        <w:spacing w:before="7"/>
        <w:rPr>
          <w:sz w:val="15"/>
        </w:rPr>
      </w:pPr>
    </w:p>
    <w:p>
      <w:pPr>
        <w:pStyle w:val="Heading2"/>
        <w:spacing w:before="52"/>
        <w:jc w:val="both"/>
        <w:rPr>
          <w:i/>
        </w:rPr>
      </w:pPr>
      <w:r>
        <w:rPr>
          <w:i/>
        </w:rPr>
        <w:t>Vitamin D</w:t>
      </w:r>
    </w:p>
    <w:p>
      <w:pPr>
        <w:pStyle w:val="BodyText"/>
        <w:spacing w:before="5"/>
        <w:rPr>
          <w:b/>
          <w:i/>
          <w:sz w:val="19"/>
        </w:rPr>
      </w:pPr>
    </w:p>
    <w:p>
      <w:pPr>
        <w:pStyle w:val="BodyText"/>
        <w:spacing w:line="256" w:lineRule="auto"/>
        <w:ind w:left="117" w:right="1178"/>
        <w:jc w:val="both"/>
      </w:pPr>
      <w:r>
        <w:rPr/>
        <w:t>Vitamin D deficiency has an important role in bone health because this vitamin increases intestinal calcium</w:t>
      </w:r>
      <w:r>
        <w:rPr>
          <w:spacing w:val="-5"/>
        </w:rPr>
        <w:t> </w:t>
      </w:r>
      <w:r>
        <w:rPr/>
        <w:t>transport</w:t>
      </w:r>
      <w:r>
        <w:rPr>
          <w:spacing w:val="-6"/>
        </w:rPr>
        <w:t> </w:t>
      </w:r>
      <w:r>
        <w:rPr/>
        <w:t>and</w:t>
      </w:r>
      <w:r>
        <w:rPr>
          <w:spacing w:val="-4"/>
        </w:rPr>
        <w:t> </w:t>
      </w:r>
      <w:r>
        <w:rPr/>
        <w:t>improves</w:t>
      </w:r>
      <w:r>
        <w:rPr>
          <w:spacing w:val="-8"/>
        </w:rPr>
        <w:t> </w:t>
      </w:r>
      <w:r>
        <w:rPr/>
        <w:t>bone</w:t>
      </w:r>
      <w:r>
        <w:rPr>
          <w:spacing w:val="-5"/>
        </w:rPr>
        <w:t> </w:t>
      </w:r>
      <w:r>
        <w:rPr/>
        <w:t>remodeling.</w:t>
      </w:r>
      <w:r>
        <w:rPr>
          <w:spacing w:val="-5"/>
        </w:rPr>
        <w:t> </w:t>
      </w:r>
      <w:r>
        <w:rPr/>
        <w:t>In</w:t>
      </w:r>
      <w:r>
        <w:rPr>
          <w:spacing w:val="-5"/>
        </w:rPr>
        <w:t> </w:t>
      </w:r>
      <w:r>
        <w:rPr/>
        <w:t>addition</w:t>
      </w:r>
      <w:r>
        <w:rPr>
          <w:spacing w:val="-6"/>
        </w:rPr>
        <w:t> </w:t>
      </w:r>
      <w:r>
        <w:rPr/>
        <w:t>to</w:t>
      </w:r>
      <w:r>
        <w:rPr>
          <w:spacing w:val="-7"/>
        </w:rPr>
        <w:t> </w:t>
      </w:r>
      <w:r>
        <w:rPr/>
        <w:t>effects</w:t>
      </w:r>
      <w:r>
        <w:rPr>
          <w:spacing w:val="-8"/>
        </w:rPr>
        <w:t> </w:t>
      </w:r>
      <w:r>
        <w:rPr/>
        <w:t>on</w:t>
      </w:r>
      <w:r>
        <w:rPr>
          <w:spacing w:val="-8"/>
        </w:rPr>
        <w:t> </w:t>
      </w:r>
      <w:r>
        <w:rPr/>
        <w:t>bone</w:t>
      </w:r>
      <w:r>
        <w:rPr>
          <w:spacing w:val="-7"/>
        </w:rPr>
        <w:t> </w:t>
      </w:r>
      <w:r>
        <w:rPr/>
        <w:t>metabolism</w:t>
      </w:r>
      <w:r>
        <w:rPr>
          <w:spacing w:val="-6"/>
        </w:rPr>
        <w:t> </w:t>
      </w:r>
      <w:r>
        <w:rPr/>
        <w:t>there</w:t>
      </w:r>
      <w:r>
        <w:rPr>
          <w:spacing w:val="-4"/>
        </w:rPr>
        <w:t> </w:t>
      </w:r>
      <w:r>
        <w:rPr/>
        <w:t>is now good data on the beneficial role of vitamin D on muscle function</w:t>
      </w:r>
      <w:r>
        <w:rPr>
          <w:position w:val="8"/>
          <w:sz w:val="16"/>
        </w:rPr>
        <w:t>5</w:t>
      </w:r>
      <w:r>
        <w:rPr/>
        <w:t>. Ideal vitamin D status is best defined by serum 25OHD levels &gt;50 nmol/L at the end of winter/early spring, when levels are generally</w:t>
      </w:r>
      <w:r>
        <w:rPr>
          <w:spacing w:val="-16"/>
        </w:rPr>
        <w:t> </w:t>
      </w:r>
      <w:r>
        <w:rPr/>
        <w:t>at</w:t>
      </w:r>
      <w:r>
        <w:rPr>
          <w:spacing w:val="-15"/>
        </w:rPr>
        <w:t> </w:t>
      </w:r>
      <w:r>
        <w:rPr/>
        <w:t>their</w:t>
      </w:r>
      <w:r>
        <w:rPr>
          <w:spacing w:val="-15"/>
        </w:rPr>
        <w:t> </w:t>
      </w:r>
      <w:r>
        <w:rPr/>
        <w:t>lowest</w:t>
      </w:r>
      <w:r>
        <w:rPr>
          <w:position w:val="8"/>
          <w:sz w:val="16"/>
        </w:rPr>
        <w:t>6</w:t>
      </w:r>
      <w:r>
        <w:rPr/>
        <w:t>.</w:t>
      </w:r>
      <w:r>
        <w:rPr>
          <w:spacing w:val="-15"/>
        </w:rPr>
        <w:t> </w:t>
      </w:r>
      <w:r>
        <w:rPr/>
        <w:t>Vitamin</w:t>
      </w:r>
      <w:r>
        <w:rPr>
          <w:spacing w:val="-15"/>
        </w:rPr>
        <w:t> </w:t>
      </w:r>
      <w:r>
        <w:rPr/>
        <w:t>D</w:t>
      </w:r>
      <w:r>
        <w:rPr>
          <w:spacing w:val="-15"/>
        </w:rPr>
        <w:t> </w:t>
      </w:r>
      <w:r>
        <w:rPr/>
        <w:t>deficiency</w:t>
      </w:r>
      <w:r>
        <w:rPr>
          <w:spacing w:val="-15"/>
        </w:rPr>
        <w:t> </w:t>
      </w:r>
      <w:r>
        <w:rPr/>
        <w:t>or</w:t>
      </w:r>
      <w:r>
        <w:rPr>
          <w:spacing w:val="-14"/>
        </w:rPr>
        <w:t> </w:t>
      </w:r>
      <w:r>
        <w:rPr/>
        <w:t>insufficiency,</w:t>
      </w:r>
      <w:r>
        <w:rPr>
          <w:spacing w:val="-15"/>
        </w:rPr>
        <w:t> </w:t>
      </w:r>
      <w:r>
        <w:rPr/>
        <w:t>a</w:t>
      </w:r>
      <w:r>
        <w:rPr>
          <w:spacing w:val="-16"/>
        </w:rPr>
        <w:t> </w:t>
      </w:r>
      <w:r>
        <w:rPr/>
        <w:t>serum</w:t>
      </w:r>
      <w:r>
        <w:rPr>
          <w:spacing w:val="-16"/>
        </w:rPr>
        <w:t> </w:t>
      </w:r>
      <w:r>
        <w:rPr/>
        <w:t>25OHD</w:t>
      </w:r>
      <w:r>
        <w:rPr>
          <w:spacing w:val="-14"/>
        </w:rPr>
        <w:t> </w:t>
      </w:r>
      <w:r>
        <w:rPr/>
        <w:t>lower</w:t>
      </w:r>
      <w:r>
        <w:rPr>
          <w:spacing w:val="-16"/>
        </w:rPr>
        <w:t> </w:t>
      </w:r>
      <w:r>
        <w:rPr/>
        <w:t>than</w:t>
      </w:r>
      <w:r>
        <w:rPr>
          <w:spacing w:val="-15"/>
        </w:rPr>
        <w:t> </w:t>
      </w:r>
      <w:r>
        <w:rPr/>
        <w:t>50</w:t>
      </w:r>
      <w:r>
        <w:rPr>
          <w:spacing w:val="-15"/>
        </w:rPr>
        <w:t> </w:t>
      </w:r>
      <w:r>
        <w:rPr/>
        <w:t>nmol/L, is</w:t>
      </w:r>
      <w:r>
        <w:rPr>
          <w:spacing w:val="-10"/>
        </w:rPr>
        <w:t> </w:t>
      </w:r>
      <w:r>
        <w:rPr/>
        <w:t>found</w:t>
      </w:r>
      <w:r>
        <w:rPr>
          <w:spacing w:val="-11"/>
        </w:rPr>
        <w:t> </w:t>
      </w:r>
      <w:r>
        <w:rPr/>
        <w:t>in</w:t>
      </w:r>
      <w:r>
        <w:rPr>
          <w:spacing w:val="-10"/>
        </w:rPr>
        <w:t> </w:t>
      </w:r>
      <w:r>
        <w:rPr/>
        <w:t>over</w:t>
      </w:r>
      <w:r>
        <w:rPr>
          <w:spacing w:val="-11"/>
        </w:rPr>
        <w:t> </w:t>
      </w:r>
      <w:r>
        <w:rPr/>
        <w:t>one</w:t>
      </w:r>
      <w:r>
        <w:rPr>
          <w:spacing w:val="-11"/>
        </w:rPr>
        <w:t> </w:t>
      </w:r>
      <w:r>
        <w:rPr/>
        <w:t>in</w:t>
      </w:r>
      <w:r>
        <w:rPr>
          <w:spacing w:val="-11"/>
        </w:rPr>
        <w:t> </w:t>
      </w:r>
      <w:r>
        <w:rPr/>
        <w:t>five</w:t>
      </w:r>
      <w:r>
        <w:rPr>
          <w:spacing w:val="-8"/>
        </w:rPr>
        <w:t> </w:t>
      </w:r>
      <w:r>
        <w:rPr/>
        <w:t>Australian</w:t>
      </w:r>
      <w:r>
        <w:rPr>
          <w:spacing w:val="-11"/>
        </w:rPr>
        <w:t> </w:t>
      </w:r>
      <w:r>
        <w:rPr/>
        <w:t>adults</w:t>
      </w:r>
      <w:r>
        <w:rPr>
          <w:spacing w:val="-11"/>
        </w:rPr>
        <w:t> </w:t>
      </w:r>
      <w:r>
        <w:rPr/>
        <w:t>especially</w:t>
      </w:r>
      <w:r>
        <w:rPr>
          <w:spacing w:val="-10"/>
        </w:rPr>
        <w:t> </w:t>
      </w:r>
      <w:r>
        <w:rPr/>
        <w:t>in</w:t>
      </w:r>
      <w:r>
        <w:rPr>
          <w:spacing w:val="-11"/>
        </w:rPr>
        <w:t> </w:t>
      </w:r>
      <w:r>
        <w:rPr/>
        <w:t>older</w:t>
      </w:r>
      <w:r>
        <w:rPr>
          <w:spacing w:val="-11"/>
        </w:rPr>
        <w:t> </w:t>
      </w:r>
      <w:r>
        <w:rPr/>
        <w:t>women</w:t>
      </w:r>
      <w:r>
        <w:rPr>
          <w:spacing w:val="-11"/>
        </w:rPr>
        <w:t> </w:t>
      </w:r>
      <w:r>
        <w:rPr/>
        <w:t>and</w:t>
      </w:r>
      <w:r>
        <w:rPr>
          <w:spacing w:val="-12"/>
        </w:rPr>
        <w:t> </w:t>
      </w:r>
      <w:r>
        <w:rPr/>
        <w:t>men</w:t>
      </w:r>
      <w:r>
        <w:rPr>
          <w:spacing w:val="-10"/>
        </w:rPr>
        <w:t> </w:t>
      </w:r>
      <w:r>
        <w:rPr/>
        <w:t>in</w:t>
      </w:r>
      <w:r>
        <w:rPr>
          <w:spacing w:val="-11"/>
        </w:rPr>
        <w:t> </w:t>
      </w:r>
      <w:r>
        <w:rPr/>
        <w:t>winter</w:t>
      </w:r>
      <w:r>
        <w:rPr>
          <w:spacing w:val="-9"/>
        </w:rPr>
        <w:t> </w:t>
      </w:r>
      <w:r>
        <w:rPr/>
        <w:t>and</w:t>
      </w:r>
      <w:r>
        <w:rPr>
          <w:spacing w:val="-11"/>
        </w:rPr>
        <w:t> </w:t>
      </w:r>
      <w:r>
        <w:rPr/>
        <w:t>spring</w:t>
      </w:r>
      <w:r>
        <w:rPr>
          <w:position w:val="8"/>
          <w:sz w:val="16"/>
        </w:rPr>
        <w:t>7</w:t>
      </w:r>
      <w:r>
        <w:rPr/>
        <w:t>. Although</w:t>
      </w:r>
      <w:r>
        <w:rPr>
          <w:spacing w:val="-14"/>
        </w:rPr>
        <w:t> </w:t>
      </w:r>
      <w:r>
        <w:rPr/>
        <w:t>testing</w:t>
      </w:r>
      <w:r>
        <w:rPr>
          <w:spacing w:val="-12"/>
        </w:rPr>
        <w:t> </w:t>
      </w:r>
      <w:r>
        <w:rPr/>
        <w:t>for</w:t>
      </w:r>
      <w:r>
        <w:rPr>
          <w:spacing w:val="-12"/>
        </w:rPr>
        <w:t> </w:t>
      </w:r>
      <w:r>
        <w:rPr/>
        <w:t>blood</w:t>
      </w:r>
      <w:r>
        <w:rPr>
          <w:spacing w:val="-11"/>
        </w:rPr>
        <w:t> </w:t>
      </w:r>
      <w:r>
        <w:rPr/>
        <w:t>25OHD</w:t>
      </w:r>
      <w:r>
        <w:rPr>
          <w:spacing w:val="-11"/>
        </w:rPr>
        <w:t> </w:t>
      </w:r>
      <w:r>
        <w:rPr/>
        <w:t>is</w:t>
      </w:r>
      <w:r>
        <w:rPr>
          <w:spacing w:val="-13"/>
        </w:rPr>
        <w:t> </w:t>
      </w:r>
      <w:r>
        <w:rPr/>
        <w:t>the</w:t>
      </w:r>
      <w:r>
        <w:rPr>
          <w:spacing w:val="-12"/>
        </w:rPr>
        <w:t> </w:t>
      </w:r>
      <w:r>
        <w:rPr/>
        <w:t>recommended</w:t>
      </w:r>
      <w:r>
        <w:rPr>
          <w:spacing w:val="-11"/>
        </w:rPr>
        <w:t> </w:t>
      </w:r>
      <w:r>
        <w:rPr/>
        <w:t>method</w:t>
      </w:r>
      <w:r>
        <w:rPr>
          <w:spacing w:val="-9"/>
        </w:rPr>
        <w:t> </w:t>
      </w:r>
      <w:r>
        <w:rPr/>
        <w:t>for</w:t>
      </w:r>
      <w:r>
        <w:rPr>
          <w:spacing w:val="-13"/>
        </w:rPr>
        <w:t> </w:t>
      </w:r>
      <w:r>
        <w:rPr/>
        <w:t>determining</w:t>
      </w:r>
      <w:r>
        <w:rPr>
          <w:spacing w:val="-12"/>
        </w:rPr>
        <w:t> </w:t>
      </w:r>
      <w:r>
        <w:rPr/>
        <w:t>vitamin</w:t>
      </w:r>
      <w:r>
        <w:rPr>
          <w:spacing w:val="-11"/>
        </w:rPr>
        <w:t> </w:t>
      </w:r>
      <w:r>
        <w:rPr/>
        <w:t>D</w:t>
      </w:r>
      <w:r>
        <w:rPr>
          <w:spacing w:val="-14"/>
        </w:rPr>
        <w:t> </w:t>
      </w:r>
      <w:r>
        <w:rPr/>
        <w:t>deficiency, the inappropriate use of 25OHD screening (excessive testing in younger individuals with no clinical evidence of, or risk factors for, vitamin D deficiency) has resulted in a 2014 Government comprehensive expert report advising restricting testing to patients with evidence of bone and mineral disorders and conditions predisposing to these disorders, a position supported by Osteoporosis</w:t>
      </w:r>
      <w:r>
        <w:rPr>
          <w:spacing w:val="-10"/>
        </w:rPr>
        <w:t> </w:t>
      </w:r>
      <w:r>
        <w:rPr/>
        <w:t>Australia</w:t>
      </w:r>
      <w:r>
        <w:rPr>
          <w:position w:val="8"/>
          <w:sz w:val="16"/>
        </w:rPr>
        <w:t>8</w:t>
      </w:r>
      <w:r>
        <w:rPr/>
        <w:t>.</w:t>
      </w:r>
    </w:p>
    <w:p>
      <w:pPr>
        <w:pStyle w:val="Heading1"/>
        <w:spacing w:before="161"/>
        <w:jc w:val="both"/>
      </w:pPr>
      <w:r>
        <w:rPr/>
        <w:t>Basis of recommendations</w:t>
      </w:r>
    </w:p>
    <w:p>
      <w:pPr>
        <w:pStyle w:val="BodyText"/>
        <w:spacing w:line="249" w:lineRule="auto" w:before="184"/>
        <w:ind w:left="117" w:right="1178"/>
        <w:jc w:val="both"/>
      </w:pPr>
      <w:r>
        <w:rPr/>
        <w:t>The recommendations outlined at the beginning of this statement are based on an extensive review of</w:t>
      </w:r>
      <w:r>
        <w:rPr>
          <w:spacing w:val="-5"/>
        </w:rPr>
        <w:t> </w:t>
      </w:r>
      <w:r>
        <w:rPr/>
        <w:t>clinical</w:t>
      </w:r>
      <w:r>
        <w:rPr>
          <w:spacing w:val="-7"/>
        </w:rPr>
        <w:t> </w:t>
      </w:r>
      <w:r>
        <w:rPr/>
        <w:t>trials</w:t>
      </w:r>
      <w:r>
        <w:rPr>
          <w:spacing w:val="-7"/>
        </w:rPr>
        <w:t> </w:t>
      </w:r>
      <w:r>
        <w:rPr/>
        <w:t>of</w:t>
      </w:r>
      <w:r>
        <w:rPr>
          <w:spacing w:val="-6"/>
        </w:rPr>
        <w:t> </w:t>
      </w:r>
      <w:r>
        <w:rPr/>
        <w:t>calcium</w:t>
      </w:r>
      <w:r>
        <w:rPr>
          <w:spacing w:val="-5"/>
        </w:rPr>
        <w:t> </w:t>
      </w:r>
      <w:r>
        <w:rPr/>
        <w:t>and</w:t>
      </w:r>
      <w:r>
        <w:rPr>
          <w:spacing w:val="-6"/>
        </w:rPr>
        <w:t> </w:t>
      </w:r>
      <w:r>
        <w:rPr/>
        <w:t>vitamin</w:t>
      </w:r>
      <w:r>
        <w:rPr>
          <w:spacing w:val="-6"/>
        </w:rPr>
        <w:t> </w:t>
      </w:r>
      <w:r>
        <w:rPr/>
        <w:t>D</w:t>
      </w:r>
      <w:r>
        <w:rPr>
          <w:spacing w:val="-6"/>
        </w:rPr>
        <w:t> </w:t>
      </w:r>
      <w:r>
        <w:rPr/>
        <w:t>supplementation</w:t>
      </w:r>
      <w:r>
        <w:rPr>
          <w:spacing w:val="-6"/>
        </w:rPr>
        <w:t> </w:t>
      </w:r>
      <w:r>
        <w:rPr/>
        <w:t>in</w:t>
      </w:r>
      <w:r>
        <w:rPr>
          <w:spacing w:val="-6"/>
        </w:rPr>
        <w:t> </w:t>
      </w:r>
      <w:r>
        <w:rPr/>
        <w:t>older</w:t>
      </w:r>
      <w:r>
        <w:rPr>
          <w:spacing w:val="-7"/>
        </w:rPr>
        <w:t> </w:t>
      </w:r>
      <w:r>
        <w:rPr/>
        <w:t>people</w:t>
      </w:r>
      <w:r>
        <w:rPr>
          <w:spacing w:val="-2"/>
        </w:rPr>
        <w:t> </w:t>
      </w:r>
      <w:r>
        <w:rPr/>
        <w:t>demonstrating</w:t>
      </w:r>
      <w:r>
        <w:rPr>
          <w:spacing w:val="-6"/>
        </w:rPr>
        <w:t> </w:t>
      </w:r>
      <w:r>
        <w:rPr/>
        <w:t>a</w:t>
      </w:r>
      <w:r>
        <w:rPr>
          <w:spacing w:val="-7"/>
        </w:rPr>
        <w:t> </w:t>
      </w:r>
      <w:r>
        <w:rPr/>
        <w:t>reduction in fracture risk of about 15 % </w:t>
      </w:r>
      <w:r>
        <w:rPr>
          <w:position w:val="8"/>
          <w:sz w:val="16"/>
        </w:rPr>
        <w:t>9,10</w:t>
      </w:r>
      <w:r>
        <w:rPr/>
        <w:t>. In a major study that selected women with vitamin D insufficiency and low calcium intake, the fracture risk reduction was 32% with supplementation</w:t>
      </w:r>
      <w:r>
        <w:rPr>
          <w:position w:val="8"/>
          <w:sz w:val="16"/>
        </w:rPr>
        <w:t>11</w:t>
      </w:r>
      <w:r>
        <w:rPr/>
        <w:t>. Clinical trials where participants who have a low calcium intake and vitamin D insufficiency are recruited demonstrate</w:t>
      </w:r>
      <w:r>
        <w:rPr>
          <w:spacing w:val="-8"/>
        </w:rPr>
        <w:t> </w:t>
      </w:r>
      <w:r>
        <w:rPr/>
        <w:t>a</w:t>
      </w:r>
      <w:r>
        <w:rPr>
          <w:spacing w:val="-9"/>
        </w:rPr>
        <w:t> </w:t>
      </w:r>
      <w:r>
        <w:rPr/>
        <w:t>more</w:t>
      </w:r>
      <w:r>
        <w:rPr>
          <w:spacing w:val="-9"/>
        </w:rPr>
        <w:t> </w:t>
      </w:r>
      <w:r>
        <w:rPr/>
        <w:t>consistent</w:t>
      </w:r>
      <w:r>
        <w:rPr>
          <w:spacing w:val="-9"/>
        </w:rPr>
        <w:t> </w:t>
      </w:r>
      <w:r>
        <w:rPr/>
        <w:t>fracture</w:t>
      </w:r>
      <w:r>
        <w:rPr>
          <w:spacing w:val="-9"/>
        </w:rPr>
        <w:t> </w:t>
      </w:r>
      <w:r>
        <w:rPr/>
        <w:t>risk</w:t>
      </w:r>
      <w:r>
        <w:rPr>
          <w:spacing w:val="-11"/>
        </w:rPr>
        <w:t> </w:t>
      </w:r>
      <w:r>
        <w:rPr/>
        <w:t>reduction</w:t>
      </w:r>
      <w:r>
        <w:rPr>
          <w:spacing w:val="-8"/>
        </w:rPr>
        <w:t> </w:t>
      </w:r>
      <w:r>
        <w:rPr/>
        <w:t>with</w:t>
      </w:r>
      <w:r>
        <w:rPr>
          <w:spacing w:val="-9"/>
        </w:rPr>
        <w:t> </w:t>
      </w:r>
      <w:r>
        <w:rPr/>
        <w:t>supplementation</w:t>
      </w:r>
      <w:r>
        <w:rPr>
          <w:position w:val="8"/>
          <w:sz w:val="16"/>
        </w:rPr>
        <w:t>12</w:t>
      </w:r>
      <w:r>
        <w:rPr/>
        <w:t>.</w:t>
      </w:r>
      <w:r>
        <w:rPr>
          <w:spacing w:val="-10"/>
        </w:rPr>
        <w:t> </w:t>
      </w:r>
      <w:r>
        <w:rPr/>
        <w:t>For</w:t>
      </w:r>
      <w:r>
        <w:rPr>
          <w:spacing w:val="-9"/>
        </w:rPr>
        <w:t> </w:t>
      </w:r>
      <w:r>
        <w:rPr/>
        <w:t>example,</w:t>
      </w:r>
      <w:r>
        <w:rPr>
          <w:spacing w:val="-9"/>
        </w:rPr>
        <w:t> </w:t>
      </w:r>
      <w:r>
        <w:rPr/>
        <w:t>a</w:t>
      </w:r>
      <w:r>
        <w:rPr>
          <w:spacing w:val="-9"/>
        </w:rPr>
        <w:t> </w:t>
      </w:r>
      <w:r>
        <w:rPr/>
        <w:t>meta- analysis</w:t>
      </w:r>
      <w:r>
        <w:rPr>
          <w:spacing w:val="-8"/>
        </w:rPr>
        <w:t> </w:t>
      </w:r>
      <w:r>
        <w:rPr/>
        <w:t>that</w:t>
      </w:r>
      <w:r>
        <w:rPr>
          <w:spacing w:val="-6"/>
        </w:rPr>
        <w:t> </w:t>
      </w:r>
      <w:r>
        <w:rPr/>
        <w:t>undertook</w:t>
      </w:r>
      <w:r>
        <w:rPr>
          <w:spacing w:val="-8"/>
        </w:rPr>
        <w:t> </w:t>
      </w:r>
      <w:r>
        <w:rPr/>
        <w:t>a</w:t>
      </w:r>
      <w:r>
        <w:rPr>
          <w:spacing w:val="-7"/>
        </w:rPr>
        <w:t> </w:t>
      </w:r>
      <w:r>
        <w:rPr/>
        <w:t>sub-analysis</w:t>
      </w:r>
      <w:r>
        <w:rPr>
          <w:spacing w:val="-5"/>
        </w:rPr>
        <w:t> </w:t>
      </w:r>
      <w:r>
        <w:rPr/>
        <w:t>of</w:t>
      </w:r>
      <w:r>
        <w:rPr>
          <w:spacing w:val="-6"/>
        </w:rPr>
        <w:t> </w:t>
      </w:r>
      <w:r>
        <w:rPr/>
        <w:t>4</w:t>
      </w:r>
      <w:r>
        <w:rPr>
          <w:spacing w:val="-7"/>
        </w:rPr>
        <w:t> </w:t>
      </w:r>
      <w:r>
        <w:rPr/>
        <w:t>studies</w:t>
      </w:r>
      <w:r>
        <w:rPr>
          <w:spacing w:val="-10"/>
        </w:rPr>
        <w:t> </w:t>
      </w:r>
      <w:r>
        <w:rPr/>
        <w:t>recruiting</w:t>
      </w:r>
      <w:r>
        <w:rPr>
          <w:spacing w:val="-8"/>
        </w:rPr>
        <w:t> </w:t>
      </w:r>
      <w:r>
        <w:rPr/>
        <w:t>participants</w:t>
      </w:r>
      <w:r>
        <w:rPr>
          <w:spacing w:val="-8"/>
        </w:rPr>
        <w:t> </w:t>
      </w:r>
      <w:r>
        <w:rPr/>
        <w:t>with</w:t>
      </w:r>
      <w:r>
        <w:rPr>
          <w:spacing w:val="-6"/>
        </w:rPr>
        <w:t> </w:t>
      </w:r>
      <w:r>
        <w:rPr/>
        <w:t>low</w:t>
      </w:r>
      <w:r>
        <w:rPr>
          <w:spacing w:val="-8"/>
        </w:rPr>
        <w:t> </w:t>
      </w:r>
      <w:r>
        <w:rPr/>
        <w:t>25OHD</w:t>
      </w:r>
      <w:r>
        <w:rPr>
          <w:spacing w:val="-6"/>
        </w:rPr>
        <w:t> </w:t>
      </w:r>
      <w:r>
        <w:rPr/>
        <w:t>reported</w:t>
      </w:r>
      <w:r>
        <w:rPr>
          <w:spacing w:val="-8"/>
        </w:rPr>
        <w:t> </w:t>
      </w:r>
      <w:r>
        <w:rPr/>
        <w:t>a 30% reduction in falls associated with vitamin D</w:t>
      </w:r>
      <w:r>
        <w:rPr>
          <w:spacing w:val="-24"/>
        </w:rPr>
        <w:t> </w:t>
      </w:r>
      <w:r>
        <w:rPr/>
        <w:t>supplementation</w:t>
      </w:r>
      <w:r>
        <w:rPr>
          <w:position w:val="8"/>
          <w:sz w:val="16"/>
        </w:rPr>
        <w:t>13</w:t>
      </w:r>
      <w:r>
        <w:rPr/>
        <w:t>.</w:t>
      </w:r>
    </w:p>
    <w:p>
      <w:pPr>
        <w:pStyle w:val="BodyText"/>
        <w:spacing w:before="1"/>
        <w:rPr>
          <w:sz w:val="23"/>
        </w:rPr>
      </w:pPr>
    </w:p>
    <w:p>
      <w:pPr>
        <w:pStyle w:val="BodyText"/>
        <w:spacing w:line="249" w:lineRule="auto" w:before="1"/>
        <w:ind w:left="117" w:right="1181"/>
        <w:jc w:val="both"/>
      </w:pPr>
      <w:r>
        <w:rPr/>
        <w:t>In regard to patients receiving pharmaceutical agents to reduce fracture risk it is important to note that</w:t>
      </w:r>
      <w:r>
        <w:rPr>
          <w:spacing w:val="-6"/>
        </w:rPr>
        <w:t> </w:t>
      </w:r>
      <w:r>
        <w:rPr/>
        <w:t>in</w:t>
      </w:r>
      <w:r>
        <w:rPr>
          <w:spacing w:val="-6"/>
        </w:rPr>
        <w:t> </w:t>
      </w:r>
      <w:r>
        <w:rPr/>
        <w:t>all</w:t>
      </w:r>
      <w:r>
        <w:rPr>
          <w:spacing w:val="-8"/>
        </w:rPr>
        <w:t> </w:t>
      </w:r>
      <w:r>
        <w:rPr/>
        <w:t>randomised</w:t>
      </w:r>
      <w:r>
        <w:rPr>
          <w:spacing w:val="-6"/>
        </w:rPr>
        <w:t> </w:t>
      </w:r>
      <w:r>
        <w:rPr/>
        <w:t>controlled</w:t>
      </w:r>
      <w:r>
        <w:rPr>
          <w:spacing w:val="-8"/>
        </w:rPr>
        <w:t> </w:t>
      </w:r>
      <w:r>
        <w:rPr/>
        <w:t>trials,</w:t>
      </w:r>
      <w:r>
        <w:rPr>
          <w:spacing w:val="-10"/>
        </w:rPr>
        <w:t> </w:t>
      </w:r>
      <w:r>
        <w:rPr/>
        <w:t>participants</w:t>
      </w:r>
      <w:r>
        <w:rPr>
          <w:spacing w:val="-8"/>
        </w:rPr>
        <w:t> </w:t>
      </w:r>
      <w:r>
        <w:rPr/>
        <w:t>were</w:t>
      </w:r>
      <w:r>
        <w:rPr>
          <w:spacing w:val="-9"/>
        </w:rPr>
        <w:t> </w:t>
      </w:r>
      <w:r>
        <w:rPr/>
        <w:t>required</w:t>
      </w:r>
      <w:r>
        <w:rPr>
          <w:spacing w:val="-9"/>
        </w:rPr>
        <w:t> </w:t>
      </w:r>
      <w:r>
        <w:rPr/>
        <w:t>to</w:t>
      </w:r>
      <w:r>
        <w:rPr>
          <w:spacing w:val="-7"/>
        </w:rPr>
        <w:t> </w:t>
      </w:r>
      <w:r>
        <w:rPr/>
        <w:t>consume</w:t>
      </w:r>
      <w:r>
        <w:rPr>
          <w:spacing w:val="-7"/>
        </w:rPr>
        <w:t> </w:t>
      </w:r>
      <w:r>
        <w:rPr/>
        <w:t>calcium</w:t>
      </w:r>
      <w:r>
        <w:rPr>
          <w:spacing w:val="-9"/>
        </w:rPr>
        <w:t> </w:t>
      </w:r>
      <w:r>
        <w:rPr/>
        <w:t>and</w:t>
      </w:r>
      <w:r>
        <w:rPr>
          <w:spacing w:val="-6"/>
        </w:rPr>
        <w:t> </w:t>
      </w:r>
      <w:r>
        <w:rPr/>
        <w:t>vitamin</w:t>
      </w:r>
      <w:r>
        <w:rPr>
          <w:spacing w:val="-9"/>
        </w:rPr>
        <w:t> </w:t>
      </w:r>
      <w:r>
        <w:rPr/>
        <w:t>D to achieve similar intakes to those recommended here, prior to entering the study. Thus to achieve optimal benefit patients should follow the guidelines outlined in this document in addition to the anti-osteoporosis drug</w:t>
      </w:r>
      <w:r>
        <w:rPr>
          <w:spacing w:val="-16"/>
        </w:rPr>
        <w:t> </w:t>
      </w:r>
      <w:r>
        <w:rPr/>
        <w:t>prescribed</w:t>
      </w:r>
      <w:r>
        <w:rPr>
          <w:position w:val="8"/>
          <w:sz w:val="16"/>
        </w:rPr>
        <w:t>14,15</w:t>
      </w:r>
      <w:r>
        <w:rPr/>
        <w:t>.</w:t>
      </w:r>
    </w:p>
    <w:p>
      <w:pPr>
        <w:spacing w:after="0" w:line="249" w:lineRule="auto"/>
        <w:jc w:val="both"/>
        <w:sectPr>
          <w:pgSz w:w="12240" w:h="15840"/>
          <w:pgMar w:top="420" w:bottom="0" w:left="1160" w:right="0"/>
        </w:sectPr>
      </w:pPr>
    </w:p>
    <w:p>
      <w:pPr>
        <w:pStyle w:val="Heading1"/>
        <w:spacing w:before="30"/>
      </w:pPr>
      <w:r>
        <w:rPr/>
        <w:t>Concerns about potential adverse effects of these recommendations</w:t>
      </w:r>
    </w:p>
    <w:p>
      <w:pPr>
        <w:pStyle w:val="BodyText"/>
        <w:spacing w:line="256" w:lineRule="auto" w:before="184"/>
        <w:ind w:left="117" w:right="118"/>
        <w:jc w:val="both"/>
      </w:pPr>
      <w:r>
        <w:rPr/>
        <w:t>Because large numbers of individuals are at risk of dietary deficiency, the safety of any recommendations that include advice on the use of supplements needs careful consideration.</w:t>
      </w:r>
    </w:p>
    <w:p>
      <w:pPr>
        <w:pStyle w:val="Heading2"/>
        <w:spacing w:before="164"/>
        <w:rPr>
          <w:i/>
        </w:rPr>
      </w:pPr>
      <w:r>
        <w:rPr>
          <w:i/>
        </w:rPr>
        <w:t>Calcium</w:t>
      </w:r>
    </w:p>
    <w:p>
      <w:pPr>
        <w:pStyle w:val="BodyText"/>
        <w:spacing w:line="256" w:lineRule="auto" w:before="181"/>
        <w:ind w:left="117" w:right="117"/>
        <w:jc w:val="both"/>
      </w:pPr>
      <w:r>
        <w:rPr/>
        <w:t>Calcium supplements can cause intestinal upset especially constipation and abdominal pain in some</w:t>
      </w:r>
      <w:r>
        <w:rPr>
          <w:position w:val="8"/>
          <w:sz w:val="16"/>
        </w:rPr>
        <w:t>16</w:t>
      </w:r>
      <w:r>
        <w:rPr/>
        <w:t>. A small increase in kidney stones has also been demonstrated in some American studies</w:t>
      </w:r>
      <w:r>
        <w:rPr>
          <w:position w:val="8"/>
          <w:sz w:val="16"/>
        </w:rPr>
        <w:t>17</w:t>
      </w:r>
      <w:r>
        <w:rPr/>
        <w:t>. One issue that has resulted in much controversy is that calcium supplements in particular increase the risk of heart disease and stroke. Despite intensive consideration international scientific bodies have</w:t>
      </w:r>
      <w:r>
        <w:rPr>
          <w:spacing w:val="-7"/>
        </w:rPr>
        <w:t> </w:t>
      </w:r>
      <w:r>
        <w:rPr/>
        <w:t>not</w:t>
      </w:r>
      <w:r>
        <w:rPr>
          <w:spacing w:val="-4"/>
        </w:rPr>
        <w:t> </w:t>
      </w:r>
      <w:r>
        <w:rPr/>
        <w:t>supported</w:t>
      </w:r>
      <w:r>
        <w:rPr>
          <w:spacing w:val="-6"/>
        </w:rPr>
        <w:t> </w:t>
      </w:r>
      <w:r>
        <w:rPr/>
        <w:t>these</w:t>
      </w:r>
      <w:r>
        <w:rPr>
          <w:spacing w:val="-2"/>
        </w:rPr>
        <w:t> </w:t>
      </w:r>
      <w:r>
        <w:rPr/>
        <w:t>concerns</w:t>
      </w:r>
      <w:r>
        <w:rPr>
          <w:spacing w:val="-7"/>
        </w:rPr>
        <w:t> </w:t>
      </w:r>
      <w:r>
        <w:rPr/>
        <w:t>when</w:t>
      </w:r>
      <w:r>
        <w:rPr>
          <w:spacing w:val="-6"/>
        </w:rPr>
        <w:t> </w:t>
      </w:r>
      <w:r>
        <w:rPr/>
        <w:t>the</w:t>
      </w:r>
      <w:r>
        <w:rPr>
          <w:spacing w:val="-6"/>
        </w:rPr>
        <w:t> </w:t>
      </w:r>
      <w:r>
        <w:rPr/>
        <w:t>dosage</w:t>
      </w:r>
      <w:r>
        <w:rPr>
          <w:spacing w:val="-4"/>
        </w:rPr>
        <w:t> </w:t>
      </w:r>
      <w:r>
        <w:rPr/>
        <w:t>recommendations</w:t>
      </w:r>
      <w:r>
        <w:rPr>
          <w:spacing w:val="-7"/>
        </w:rPr>
        <w:t> </w:t>
      </w:r>
      <w:r>
        <w:rPr/>
        <w:t>of</w:t>
      </w:r>
      <w:r>
        <w:rPr>
          <w:spacing w:val="-5"/>
        </w:rPr>
        <w:t> </w:t>
      </w:r>
      <w:r>
        <w:rPr/>
        <w:t>500</w:t>
      </w:r>
      <w:r>
        <w:rPr>
          <w:spacing w:val="-7"/>
        </w:rPr>
        <w:t> </w:t>
      </w:r>
      <w:r>
        <w:rPr/>
        <w:t>to</w:t>
      </w:r>
      <w:r>
        <w:rPr>
          <w:spacing w:val="-7"/>
        </w:rPr>
        <w:t> </w:t>
      </w:r>
      <w:r>
        <w:rPr/>
        <w:t>600mg</w:t>
      </w:r>
      <w:r>
        <w:rPr>
          <w:spacing w:val="-8"/>
        </w:rPr>
        <w:t> </w:t>
      </w:r>
      <w:r>
        <w:rPr/>
        <w:t>per</w:t>
      </w:r>
      <w:r>
        <w:rPr>
          <w:spacing w:val="-7"/>
        </w:rPr>
        <w:t> </w:t>
      </w:r>
      <w:r>
        <w:rPr/>
        <w:t>day</w:t>
      </w:r>
      <w:r>
        <w:rPr>
          <w:spacing w:val="-4"/>
        </w:rPr>
        <w:t> </w:t>
      </w:r>
      <w:r>
        <w:rPr/>
        <w:t>are followed</w:t>
      </w:r>
      <w:r>
        <w:rPr>
          <w:position w:val="8"/>
          <w:sz w:val="16"/>
        </w:rPr>
        <w:t>18,19</w:t>
      </w:r>
      <w:r>
        <w:rPr/>
        <w:t>.</w:t>
      </w:r>
    </w:p>
    <w:p>
      <w:pPr>
        <w:pStyle w:val="Heading2"/>
        <w:spacing w:before="161"/>
        <w:rPr>
          <w:i/>
        </w:rPr>
      </w:pPr>
      <w:r>
        <w:rPr>
          <w:i/>
        </w:rPr>
        <w:t>Vitamin D</w:t>
      </w:r>
    </w:p>
    <w:p>
      <w:pPr>
        <w:pStyle w:val="BodyText"/>
        <w:spacing w:line="256" w:lineRule="auto" w:before="185"/>
        <w:ind w:left="117" w:right="117"/>
        <w:jc w:val="both"/>
      </w:pPr>
      <w:r>
        <w:rPr/>
        <w:t>Some studies of vitamin D effects on falling have utilised data in which high doses of vitamin were used, often in women without evidence of vitamin D insufficiency. Careful consideration of these studies and dose ranging studies indicate that high monthly or yearly vitamin D doses may </w:t>
      </w:r>
      <w:r>
        <w:rPr>
          <w:b/>
          <w:i/>
        </w:rPr>
        <w:t>increase </w:t>
      </w:r>
      <w:r>
        <w:rPr/>
        <w:t>falls risk especially in elderly women </w:t>
      </w:r>
      <w:r>
        <w:rPr>
          <w:position w:val="8"/>
          <w:sz w:val="16"/>
        </w:rPr>
        <w:t>20,21 22</w:t>
      </w:r>
      <w:r>
        <w:rPr/>
        <w:t>. An epidemiological study has also reported an increase risk of fracturing in the 20% of men with the highest blood 25OHD</w:t>
      </w:r>
      <w:r>
        <w:rPr>
          <w:position w:val="8"/>
          <w:sz w:val="16"/>
        </w:rPr>
        <w:t>23</w:t>
      </w:r>
      <w:r>
        <w:rPr/>
        <w:t>. Hence the new advice that in people</w:t>
      </w:r>
      <w:r>
        <w:rPr>
          <w:spacing w:val="-13"/>
        </w:rPr>
        <w:t> </w:t>
      </w:r>
      <w:r>
        <w:rPr/>
        <w:t>with</w:t>
      </w:r>
      <w:r>
        <w:rPr>
          <w:spacing w:val="-15"/>
        </w:rPr>
        <w:t> </w:t>
      </w:r>
      <w:r>
        <w:rPr/>
        <w:t>a</w:t>
      </w:r>
      <w:r>
        <w:rPr>
          <w:spacing w:val="-16"/>
        </w:rPr>
        <w:t> </w:t>
      </w:r>
      <w:r>
        <w:rPr/>
        <w:t>blood</w:t>
      </w:r>
      <w:r>
        <w:rPr>
          <w:spacing w:val="-13"/>
        </w:rPr>
        <w:t> </w:t>
      </w:r>
      <w:r>
        <w:rPr/>
        <w:t>levels</w:t>
      </w:r>
      <w:r>
        <w:rPr>
          <w:spacing w:val="-14"/>
        </w:rPr>
        <w:t> </w:t>
      </w:r>
      <w:r>
        <w:rPr/>
        <w:t>of</w:t>
      </w:r>
      <w:r>
        <w:rPr>
          <w:spacing w:val="-12"/>
        </w:rPr>
        <w:t> </w:t>
      </w:r>
      <w:r>
        <w:rPr/>
        <w:t>25OHD</w:t>
      </w:r>
      <w:r>
        <w:rPr>
          <w:spacing w:val="-13"/>
        </w:rPr>
        <w:t> </w:t>
      </w:r>
      <w:r>
        <w:rPr/>
        <w:t>below</w:t>
      </w:r>
      <w:r>
        <w:rPr>
          <w:spacing w:val="-15"/>
        </w:rPr>
        <w:t> </w:t>
      </w:r>
      <w:r>
        <w:rPr/>
        <w:t>50</w:t>
      </w:r>
      <w:r>
        <w:rPr>
          <w:spacing w:val="-14"/>
        </w:rPr>
        <w:t> </w:t>
      </w:r>
      <w:r>
        <w:rPr/>
        <w:t>nmol/L</w:t>
      </w:r>
      <w:r>
        <w:rPr>
          <w:spacing w:val="-14"/>
        </w:rPr>
        <w:t> </w:t>
      </w:r>
      <w:r>
        <w:rPr/>
        <w:t>a</w:t>
      </w:r>
      <w:r>
        <w:rPr>
          <w:spacing w:val="-16"/>
        </w:rPr>
        <w:t> </w:t>
      </w:r>
      <w:r>
        <w:rPr/>
        <w:t>daily</w:t>
      </w:r>
      <w:r>
        <w:rPr>
          <w:spacing w:val="-14"/>
        </w:rPr>
        <w:t> </w:t>
      </w:r>
      <w:r>
        <w:rPr/>
        <w:t>supplement</w:t>
      </w:r>
      <w:r>
        <w:rPr>
          <w:spacing w:val="-13"/>
        </w:rPr>
        <w:t> </w:t>
      </w:r>
      <w:r>
        <w:rPr/>
        <w:t>of</w:t>
      </w:r>
      <w:r>
        <w:rPr>
          <w:spacing w:val="-13"/>
        </w:rPr>
        <w:t> </w:t>
      </w:r>
      <w:r>
        <w:rPr/>
        <w:t>800</w:t>
      </w:r>
      <w:r>
        <w:rPr>
          <w:spacing w:val="-8"/>
        </w:rPr>
        <w:t> </w:t>
      </w:r>
      <w:r>
        <w:rPr/>
        <w:t>to</w:t>
      </w:r>
      <w:r>
        <w:rPr>
          <w:spacing w:val="-13"/>
        </w:rPr>
        <w:t> </w:t>
      </w:r>
      <w:r>
        <w:rPr/>
        <w:t>1,000</w:t>
      </w:r>
      <w:r>
        <w:rPr>
          <w:spacing w:val="-13"/>
        </w:rPr>
        <w:t> </w:t>
      </w:r>
      <w:r>
        <w:rPr/>
        <w:t>IU</w:t>
      </w:r>
      <w:r>
        <w:rPr>
          <w:spacing w:val="-17"/>
        </w:rPr>
        <w:t> </w:t>
      </w:r>
      <w:r>
        <w:rPr/>
        <w:t>of</w:t>
      </w:r>
      <w:r>
        <w:rPr>
          <w:spacing w:val="-12"/>
        </w:rPr>
        <w:t> </w:t>
      </w:r>
      <w:r>
        <w:rPr/>
        <w:t>vitamin D per day should be</w:t>
      </w:r>
      <w:r>
        <w:rPr>
          <w:spacing w:val="-10"/>
        </w:rPr>
        <w:t> </w:t>
      </w:r>
      <w:r>
        <w:rPr/>
        <w:t>consumed.</w:t>
      </w:r>
    </w:p>
    <w:p>
      <w:pPr>
        <w:pStyle w:val="Heading1"/>
        <w:spacing w:before="162"/>
      </w:pPr>
      <w:r>
        <w:rPr/>
        <w:t>Conclusions</w:t>
      </w:r>
    </w:p>
    <w:p>
      <w:pPr>
        <w:pStyle w:val="BodyText"/>
        <w:spacing w:line="259" w:lineRule="auto" w:before="184"/>
        <w:ind w:left="117" w:right="117"/>
        <w:jc w:val="both"/>
      </w:pPr>
      <w:r>
        <w:rPr/>
        <w:t>A recent National Health Survey indicates that large numbers of older women and men are </w:t>
      </w:r>
      <w:r>
        <w:rPr>
          <w:b/>
          <w:i/>
        </w:rPr>
        <w:t>not </w:t>
      </w:r>
      <w:r>
        <w:rPr/>
        <w:t>achieving recommended calcium intakes; in addition many have vitamin D insufficiency. Evidence from randomised clinical trials is that these Australians will benefit from increased consumption of both</w:t>
      </w:r>
      <w:r>
        <w:rPr>
          <w:spacing w:val="-13"/>
        </w:rPr>
        <w:t> </w:t>
      </w:r>
      <w:r>
        <w:rPr/>
        <w:t>calcium</w:t>
      </w:r>
      <w:r>
        <w:rPr>
          <w:spacing w:val="-13"/>
        </w:rPr>
        <w:t> </w:t>
      </w:r>
      <w:r>
        <w:rPr/>
        <w:t>and</w:t>
      </w:r>
      <w:r>
        <w:rPr>
          <w:spacing w:val="-13"/>
        </w:rPr>
        <w:t> </w:t>
      </w:r>
      <w:r>
        <w:rPr/>
        <w:t>vitamin</w:t>
      </w:r>
      <w:r>
        <w:rPr>
          <w:spacing w:val="-15"/>
        </w:rPr>
        <w:t> </w:t>
      </w:r>
      <w:r>
        <w:rPr/>
        <w:t>D,</w:t>
      </w:r>
      <w:r>
        <w:rPr>
          <w:spacing w:val="-13"/>
        </w:rPr>
        <w:t> </w:t>
      </w:r>
      <w:r>
        <w:rPr/>
        <w:t>especially</w:t>
      </w:r>
      <w:r>
        <w:rPr>
          <w:spacing w:val="-14"/>
        </w:rPr>
        <w:t> </w:t>
      </w:r>
      <w:r>
        <w:rPr/>
        <w:t>if</w:t>
      </w:r>
      <w:r>
        <w:rPr>
          <w:spacing w:val="-13"/>
        </w:rPr>
        <w:t> </w:t>
      </w:r>
      <w:r>
        <w:rPr/>
        <w:t>they</w:t>
      </w:r>
      <w:r>
        <w:rPr>
          <w:spacing w:val="-14"/>
        </w:rPr>
        <w:t> </w:t>
      </w:r>
      <w:r>
        <w:rPr/>
        <w:t>are</w:t>
      </w:r>
      <w:r>
        <w:rPr>
          <w:spacing w:val="-12"/>
        </w:rPr>
        <w:t> </w:t>
      </w:r>
      <w:r>
        <w:rPr/>
        <w:t>at</w:t>
      </w:r>
      <w:r>
        <w:rPr>
          <w:spacing w:val="-12"/>
        </w:rPr>
        <w:t> </w:t>
      </w:r>
      <w:r>
        <w:rPr/>
        <w:t>risk</w:t>
      </w:r>
      <w:r>
        <w:rPr>
          <w:spacing w:val="-15"/>
        </w:rPr>
        <w:t> </w:t>
      </w:r>
      <w:r>
        <w:rPr/>
        <w:t>of</w:t>
      </w:r>
      <w:r>
        <w:rPr>
          <w:spacing w:val="-12"/>
        </w:rPr>
        <w:t> </w:t>
      </w:r>
      <w:r>
        <w:rPr/>
        <w:t>falls</w:t>
      </w:r>
      <w:r>
        <w:rPr>
          <w:spacing w:val="-14"/>
        </w:rPr>
        <w:t> </w:t>
      </w:r>
      <w:r>
        <w:rPr/>
        <w:t>and</w:t>
      </w:r>
      <w:r>
        <w:rPr>
          <w:spacing w:val="-15"/>
        </w:rPr>
        <w:t> </w:t>
      </w:r>
      <w:r>
        <w:rPr/>
        <w:t>fractures.</w:t>
      </w:r>
      <w:r>
        <w:rPr>
          <w:spacing w:val="-14"/>
        </w:rPr>
        <w:t> </w:t>
      </w:r>
      <w:r>
        <w:rPr/>
        <w:t>The</w:t>
      </w:r>
      <w:r>
        <w:rPr>
          <w:spacing w:val="-13"/>
        </w:rPr>
        <w:t> </w:t>
      </w:r>
      <w:r>
        <w:rPr/>
        <w:t>importance</w:t>
      </w:r>
      <w:r>
        <w:rPr>
          <w:spacing w:val="-13"/>
        </w:rPr>
        <w:t> </w:t>
      </w:r>
      <w:r>
        <w:rPr/>
        <w:t>of</w:t>
      </w:r>
      <w:r>
        <w:rPr>
          <w:spacing w:val="-14"/>
        </w:rPr>
        <w:t> </w:t>
      </w:r>
      <w:r>
        <w:rPr/>
        <w:t>these recommendations for public health should be addressed as a matter of</w:t>
      </w:r>
      <w:r>
        <w:rPr>
          <w:spacing w:val="-33"/>
        </w:rPr>
        <w:t> </w:t>
      </w:r>
      <w:r>
        <w:rPr/>
        <w:t>urgency.</w:t>
      </w:r>
    </w:p>
    <w:p>
      <w:pPr>
        <w:pStyle w:val="BodyText"/>
      </w:pPr>
    </w:p>
    <w:p>
      <w:pPr>
        <w:pStyle w:val="BodyText"/>
      </w:pPr>
    </w:p>
    <w:p>
      <w:pPr>
        <w:pStyle w:val="Heading1"/>
        <w:spacing w:line="292" w:lineRule="exact" w:before="160"/>
      </w:pPr>
      <w:r>
        <w:rPr/>
        <w:t>References</w:t>
      </w:r>
    </w:p>
    <w:p>
      <w:pPr>
        <w:pStyle w:val="ListParagraph"/>
        <w:numPr>
          <w:ilvl w:val="0"/>
          <w:numId w:val="1"/>
        </w:numPr>
        <w:tabs>
          <w:tab w:pos="837" w:val="left" w:leader="none"/>
          <w:tab w:pos="838" w:val="left" w:leader="none"/>
        </w:tabs>
        <w:spacing w:line="240" w:lineRule="auto" w:before="0" w:after="0"/>
        <w:ind w:left="837" w:right="1844" w:hanging="720"/>
        <w:jc w:val="left"/>
        <w:rPr>
          <w:sz w:val="22"/>
        </w:rPr>
      </w:pPr>
      <w:r>
        <w:rPr>
          <w:sz w:val="22"/>
        </w:rPr>
        <w:t>NHMRC. Australian Dietary Guidelines. 2012 </w:t>
      </w:r>
      <w:hyperlink r:id="rId8">
        <w:r>
          <w:rPr>
            <w:color w:val="0462C1"/>
            <w:spacing w:val="-1"/>
            <w:sz w:val="22"/>
            <w:u w:val="single" w:color="0462C1"/>
          </w:rPr>
          <w:t>http://consultations.nhmrc.gov.au/open_public_consultations/dietary-guidelines</w:t>
        </w:r>
      </w:hyperlink>
      <w:r>
        <w:rPr>
          <w:spacing w:val="-1"/>
          <w:sz w:val="22"/>
        </w:rPr>
        <w:t>.</w:t>
      </w:r>
    </w:p>
    <w:p>
      <w:pPr>
        <w:pStyle w:val="ListParagraph"/>
        <w:numPr>
          <w:ilvl w:val="0"/>
          <w:numId w:val="1"/>
        </w:numPr>
        <w:tabs>
          <w:tab w:pos="837" w:val="left" w:leader="none"/>
          <w:tab w:pos="838" w:val="left" w:leader="none"/>
        </w:tabs>
        <w:spacing w:line="240" w:lineRule="auto" w:before="1" w:after="0"/>
        <w:ind w:left="837" w:right="117" w:hanging="720"/>
        <w:jc w:val="both"/>
        <w:rPr>
          <w:sz w:val="22"/>
        </w:rPr>
      </w:pPr>
      <w:r>
        <w:rPr>
          <w:sz w:val="22"/>
        </w:rPr>
        <w:t>National</w:t>
      </w:r>
      <w:r>
        <w:rPr>
          <w:spacing w:val="-9"/>
          <w:sz w:val="22"/>
        </w:rPr>
        <w:t> </w:t>
      </w:r>
      <w:r>
        <w:rPr>
          <w:sz w:val="22"/>
        </w:rPr>
        <w:t>Health</w:t>
      </w:r>
      <w:r>
        <w:rPr>
          <w:spacing w:val="-9"/>
          <w:sz w:val="22"/>
        </w:rPr>
        <w:t> </w:t>
      </w:r>
      <w:r>
        <w:rPr>
          <w:sz w:val="22"/>
        </w:rPr>
        <w:t>and</w:t>
      </w:r>
      <w:r>
        <w:rPr>
          <w:spacing w:val="-12"/>
          <w:sz w:val="22"/>
        </w:rPr>
        <w:t> </w:t>
      </w:r>
      <w:r>
        <w:rPr>
          <w:sz w:val="22"/>
        </w:rPr>
        <w:t>Medical</w:t>
      </w:r>
      <w:r>
        <w:rPr>
          <w:spacing w:val="-9"/>
          <w:sz w:val="22"/>
        </w:rPr>
        <w:t> </w:t>
      </w:r>
      <w:r>
        <w:rPr>
          <w:sz w:val="22"/>
        </w:rPr>
        <w:t>Research</w:t>
      </w:r>
      <w:r>
        <w:rPr>
          <w:spacing w:val="-10"/>
          <w:sz w:val="22"/>
        </w:rPr>
        <w:t> </w:t>
      </w:r>
      <w:r>
        <w:rPr>
          <w:sz w:val="22"/>
        </w:rPr>
        <w:t>Council</w:t>
      </w:r>
      <w:r>
        <w:rPr>
          <w:spacing w:val="-9"/>
          <w:sz w:val="22"/>
        </w:rPr>
        <w:t> </w:t>
      </w:r>
      <w:r>
        <w:rPr>
          <w:sz w:val="22"/>
        </w:rPr>
        <w:t>(Australia).,</w:t>
      </w:r>
      <w:r>
        <w:rPr>
          <w:spacing w:val="-9"/>
          <w:sz w:val="22"/>
        </w:rPr>
        <w:t> </w:t>
      </w:r>
      <w:r>
        <w:rPr>
          <w:sz w:val="22"/>
        </w:rPr>
        <w:t>New</w:t>
      </w:r>
      <w:r>
        <w:rPr>
          <w:spacing w:val="-10"/>
          <w:sz w:val="22"/>
        </w:rPr>
        <w:t> </w:t>
      </w:r>
      <w:r>
        <w:rPr>
          <w:sz w:val="22"/>
        </w:rPr>
        <w:t>Zealand.</w:t>
      </w:r>
      <w:r>
        <w:rPr>
          <w:spacing w:val="-12"/>
          <w:sz w:val="22"/>
        </w:rPr>
        <w:t> </w:t>
      </w:r>
      <w:r>
        <w:rPr>
          <w:sz w:val="22"/>
        </w:rPr>
        <w:t>Ministry</w:t>
      </w:r>
      <w:r>
        <w:rPr>
          <w:spacing w:val="-11"/>
          <w:sz w:val="22"/>
        </w:rPr>
        <w:t> </w:t>
      </w:r>
      <w:r>
        <w:rPr>
          <w:sz w:val="22"/>
        </w:rPr>
        <w:t>of</w:t>
      </w:r>
      <w:r>
        <w:rPr>
          <w:spacing w:val="-9"/>
          <w:sz w:val="22"/>
        </w:rPr>
        <w:t> </w:t>
      </w:r>
      <w:r>
        <w:rPr>
          <w:sz w:val="22"/>
        </w:rPr>
        <w:t>Health.,</w:t>
      </w:r>
      <w:r>
        <w:rPr>
          <w:spacing w:val="-9"/>
          <w:sz w:val="22"/>
        </w:rPr>
        <w:t> </w:t>
      </w:r>
      <w:r>
        <w:rPr>
          <w:sz w:val="22"/>
        </w:rPr>
        <w:t>Australia. Dept. of Health and Ageing. </w:t>
      </w:r>
      <w:r>
        <w:rPr>
          <w:i/>
          <w:sz w:val="22"/>
        </w:rPr>
        <w:t>Nutrient reference values for Australia and </w:t>
      </w:r>
      <w:r>
        <w:rPr>
          <w:i/>
          <w:spacing w:val="-3"/>
          <w:sz w:val="22"/>
        </w:rPr>
        <w:t>New </w:t>
      </w:r>
      <w:r>
        <w:rPr>
          <w:i/>
          <w:sz w:val="22"/>
        </w:rPr>
        <w:t>Zealand : including </w:t>
      </w:r>
      <w:r>
        <w:rPr>
          <w:i/>
          <w:sz w:val="22"/>
        </w:rPr>
        <w:t>recommended</w:t>
      </w:r>
      <w:r>
        <w:rPr>
          <w:i/>
          <w:spacing w:val="-14"/>
          <w:sz w:val="22"/>
        </w:rPr>
        <w:t> </w:t>
      </w:r>
      <w:r>
        <w:rPr>
          <w:i/>
          <w:sz w:val="22"/>
        </w:rPr>
        <w:t>dietary</w:t>
      </w:r>
      <w:r>
        <w:rPr>
          <w:i/>
          <w:spacing w:val="-14"/>
          <w:sz w:val="22"/>
        </w:rPr>
        <w:t> </w:t>
      </w:r>
      <w:r>
        <w:rPr>
          <w:i/>
          <w:sz w:val="22"/>
        </w:rPr>
        <w:t>intakes.</w:t>
      </w:r>
      <w:r>
        <w:rPr>
          <w:i/>
          <w:spacing w:val="-12"/>
          <w:sz w:val="22"/>
        </w:rPr>
        <w:t> </w:t>
      </w:r>
      <w:r>
        <w:rPr>
          <w:sz w:val="22"/>
        </w:rPr>
        <w:t>[Canberra,</w:t>
      </w:r>
      <w:r>
        <w:rPr>
          <w:spacing w:val="-13"/>
          <w:sz w:val="22"/>
        </w:rPr>
        <w:t> </w:t>
      </w:r>
      <w:r>
        <w:rPr>
          <w:sz w:val="22"/>
        </w:rPr>
        <w:t>A.C.T.:</w:t>
      </w:r>
      <w:r>
        <w:rPr>
          <w:spacing w:val="-12"/>
          <w:sz w:val="22"/>
        </w:rPr>
        <w:t> </w:t>
      </w:r>
      <w:r>
        <w:rPr>
          <w:sz w:val="22"/>
        </w:rPr>
        <w:t>National</w:t>
      </w:r>
      <w:r>
        <w:rPr>
          <w:spacing w:val="-13"/>
          <w:sz w:val="22"/>
        </w:rPr>
        <w:t> </w:t>
      </w:r>
      <w:r>
        <w:rPr>
          <w:sz w:val="22"/>
        </w:rPr>
        <w:t>Health</w:t>
      </w:r>
      <w:r>
        <w:rPr>
          <w:spacing w:val="-14"/>
          <w:sz w:val="22"/>
        </w:rPr>
        <w:t> </w:t>
      </w:r>
      <w:r>
        <w:rPr>
          <w:sz w:val="22"/>
        </w:rPr>
        <w:t>and</w:t>
      </w:r>
      <w:r>
        <w:rPr>
          <w:spacing w:val="-14"/>
          <w:sz w:val="22"/>
        </w:rPr>
        <w:t> </w:t>
      </w:r>
      <w:r>
        <w:rPr>
          <w:sz w:val="22"/>
        </w:rPr>
        <w:t>Medical</w:t>
      </w:r>
      <w:r>
        <w:rPr>
          <w:spacing w:val="-13"/>
          <w:sz w:val="22"/>
        </w:rPr>
        <w:t> </w:t>
      </w:r>
      <w:r>
        <w:rPr>
          <w:sz w:val="22"/>
        </w:rPr>
        <w:t>Research</w:t>
      </w:r>
      <w:r>
        <w:rPr>
          <w:spacing w:val="-14"/>
          <w:sz w:val="22"/>
        </w:rPr>
        <w:t> </w:t>
      </w:r>
      <w:r>
        <w:rPr>
          <w:sz w:val="22"/>
        </w:rPr>
        <w:t>Council];</w:t>
      </w:r>
      <w:r>
        <w:rPr>
          <w:spacing w:val="-14"/>
          <w:sz w:val="22"/>
        </w:rPr>
        <w:t> </w:t>
      </w:r>
      <w:r>
        <w:rPr>
          <w:sz w:val="22"/>
        </w:rPr>
        <w:t>2006.</w:t>
      </w:r>
    </w:p>
    <w:p>
      <w:pPr>
        <w:pStyle w:val="ListParagraph"/>
        <w:numPr>
          <w:ilvl w:val="0"/>
          <w:numId w:val="1"/>
        </w:numPr>
        <w:tabs>
          <w:tab w:pos="837" w:val="left" w:leader="none"/>
          <w:tab w:pos="838" w:val="left" w:leader="none"/>
        </w:tabs>
        <w:spacing w:line="240" w:lineRule="auto" w:before="0" w:after="0"/>
        <w:ind w:left="837" w:right="116" w:hanging="720"/>
        <w:jc w:val="left"/>
        <w:rPr>
          <w:sz w:val="22"/>
        </w:rPr>
      </w:pPr>
      <w:r>
        <w:rPr>
          <w:sz w:val="22"/>
        </w:rPr>
        <w:t>Australian</w:t>
      </w:r>
      <w:r>
        <w:rPr>
          <w:spacing w:val="-11"/>
          <w:sz w:val="22"/>
        </w:rPr>
        <w:t> </w:t>
      </w:r>
      <w:r>
        <w:rPr>
          <w:sz w:val="22"/>
        </w:rPr>
        <w:t>Bureau</w:t>
      </w:r>
      <w:r>
        <w:rPr>
          <w:spacing w:val="-12"/>
          <w:sz w:val="22"/>
        </w:rPr>
        <w:t> </w:t>
      </w:r>
      <w:r>
        <w:rPr>
          <w:sz w:val="22"/>
        </w:rPr>
        <w:t>of</w:t>
      </w:r>
      <w:r>
        <w:rPr>
          <w:spacing w:val="-12"/>
          <w:sz w:val="22"/>
        </w:rPr>
        <w:t> </w:t>
      </w:r>
      <w:r>
        <w:rPr>
          <w:sz w:val="22"/>
        </w:rPr>
        <w:t>Statistics.</w:t>
      </w:r>
      <w:r>
        <w:rPr>
          <w:spacing w:val="-11"/>
          <w:sz w:val="22"/>
        </w:rPr>
        <w:t> </w:t>
      </w:r>
      <w:r>
        <w:rPr>
          <w:sz w:val="22"/>
        </w:rPr>
        <w:t>4364.0.55.008</w:t>
      </w:r>
      <w:r>
        <w:rPr>
          <w:spacing w:val="-8"/>
          <w:sz w:val="22"/>
        </w:rPr>
        <w:t> </w:t>
      </w:r>
      <w:r>
        <w:rPr>
          <w:sz w:val="22"/>
        </w:rPr>
        <w:t>-</w:t>
      </w:r>
      <w:r>
        <w:rPr>
          <w:spacing w:val="-12"/>
          <w:sz w:val="22"/>
        </w:rPr>
        <w:t> </w:t>
      </w:r>
      <w:r>
        <w:rPr>
          <w:sz w:val="22"/>
        </w:rPr>
        <w:t>Australian</w:t>
      </w:r>
      <w:r>
        <w:rPr>
          <w:spacing w:val="-11"/>
          <w:sz w:val="22"/>
        </w:rPr>
        <w:t> </w:t>
      </w:r>
      <w:r>
        <w:rPr>
          <w:sz w:val="22"/>
        </w:rPr>
        <w:t>Health</w:t>
      </w:r>
      <w:r>
        <w:rPr>
          <w:spacing w:val="-12"/>
          <w:sz w:val="22"/>
        </w:rPr>
        <w:t> </w:t>
      </w:r>
      <w:r>
        <w:rPr>
          <w:sz w:val="22"/>
        </w:rPr>
        <w:t>Survey:</w:t>
      </w:r>
      <w:r>
        <w:rPr>
          <w:spacing w:val="-11"/>
          <w:sz w:val="22"/>
        </w:rPr>
        <w:t> </w:t>
      </w:r>
      <w:r>
        <w:rPr>
          <w:sz w:val="22"/>
        </w:rPr>
        <w:t>Usual</w:t>
      </w:r>
      <w:r>
        <w:rPr>
          <w:spacing w:val="-12"/>
          <w:sz w:val="22"/>
        </w:rPr>
        <w:t> </w:t>
      </w:r>
      <w:r>
        <w:rPr>
          <w:sz w:val="22"/>
        </w:rPr>
        <w:t>Nutrient</w:t>
      </w:r>
      <w:r>
        <w:rPr>
          <w:spacing w:val="-10"/>
          <w:sz w:val="22"/>
        </w:rPr>
        <w:t> </w:t>
      </w:r>
      <w:r>
        <w:rPr>
          <w:sz w:val="22"/>
        </w:rPr>
        <w:t>Intakes,</w:t>
      </w:r>
      <w:r>
        <w:rPr>
          <w:spacing w:val="-11"/>
          <w:sz w:val="22"/>
        </w:rPr>
        <w:t> </w:t>
      </w:r>
      <w:r>
        <w:rPr>
          <w:sz w:val="22"/>
        </w:rPr>
        <w:t>2011- 12</w:t>
      </w:r>
      <w:r>
        <w:rPr>
          <w:spacing w:val="-2"/>
          <w:sz w:val="22"/>
        </w:rPr>
        <w:t> </w:t>
      </w:r>
      <w:r>
        <w:rPr>
          <w:sz w:val="22"/>
        </w:rPr>
        <w:t>2015.</w:t>
      </w:r>
    </w:p>
    <w:p>
      <w:pPr>
        <w:pStyle w:val="ListParagraph"/>
        <w:numPr>
          <w:ilvl w:val="0"/>
          <w:numId w:val="1"/>
        </w:numPr>
        <w:tabs>
          <w:tab w:pos="837" w:val="left" w:leader="none"/>
          <w:tab w:pos="838" w:val="left" w:leader="none"/>
        </w:tabs>
        <w:spacing w:line="240" w:lineRule="auto" w:before="0" w:after="0"/>
        <w:ind w:left="837" w:right="117" w:hanging="720"/>
        <w:jc w:val="left"/>
        <w:rPr>
          <w:sz w:val="22"/>
        </w:rPr>
      </w:pPr>
      <w:r>
        <w:rPr>
          <w:sz w:val="22"/>
        </w:rPr>
        <w:t>Australian Bureau of Statistics. 4364.0.55.010 - Australian Health Survey: Nutrition - Supplements, 2011-12</w:t>
      </w:r>
      <w:r>
        <w:rPr>
          <w:spacing w:val="45"/>
          <w:sz w:val="22"/>
        </w:rPr>
        <w:t> </w:t>
      </w:r>
      <w:r>
        <w:rPr>
          <w:sz w:val="22"/>
        </w:rPr>
        <w:t>2015.</w:t>
      </w:r>
    </w:p>
    <w:p>
      <w:pPr>
        <w:pStyle w:val="ListParagraph"/>
        <w:numPr>
          <w:ilvl w:val="0"/>
          <w:numId w:val="1"/>
        </w:numPr>
        <w:tabs>
          <w:tab w:pos="837" w:val="left" w:leader="none"/>
          <w:tab w:pos="838" w:val="left" w:leader="none"/>
        </w:tabs>
        <w:spacing w:line="240" w:lineRule="auto" w:before="0" w:after="0"/>
        <w:ind w:left="837" w:right="121" w:hanging="720"/>
        <w:jc w:val="left"/>
        <w:rPr>
          <w:sz w:val="22"/>
        </w:rPr>
      </w:pPr>
      <w:r>
        <w:rPr>
          <w:sz w:val="22"/>
        </w:rPr>
        <w:t>Girgis CM, Clifton-Bligh RJ, Hamrick MW, Holick MF, Gunton JE. The roles of vitamin d in skeletal muscle: form, function, and metabolism. </w:t>
      </w:r>
      <w:r>
        <w:rPr>
          <w:i/>
          <w:sz w:val="22"/>
        </w:rPr>
        <w:t>Endocr Rev.</w:t>
      </w:r>
      <w:r>
        <w:rPr>
          <w:i/>
          <w:spacing w:val="-28"/>
          <w:sz w:val="22"/>
        </w:rPr>
        <w:t> </w:t>
      </w:r>
      <w:r>
        <w:rPr>
          <w:sz w:val="22"/>
        </w:rPr>
        <w:t>2013;34(1):33-83.</w:t>
      </w:r>
    </w:p>
    <w:p>
      <w:pPr>
        <w:pStyle w:val="ListParagraph"/>
        <w:numPr>
          <w:ilvl w:val="0"/>
          <w:numId w:val="1"/>
        </w:numPr>
        <w:tabs>
          <w:tab w:pos="837" w:val="left" w:leader="none"/>
          <w:tab w:pos="838" w:val="left" w:leader="none"/>
        </w:tabs>
        <w:spacing w:line="240" w:lineRule="auto" w:before="3" w:after="0"/>
        <w:ind w:left="837" w:right="120" w:hanging="720"/>
        <w:jc w:val="left"/>
        <w:rPr>
          <w:sz w:val="22"/>
        </w:rPr>
      </w:pPr>
      <w:r>
        <w:rPr>
          <w:sz w:val="22"/>
        </w:rPr>
        <w:t>Nowson</w:t>
      </w:r>
      <w:r>
        <w:rPr>
          <w:spacing w:val="-7"/>
          <w:sz w:val="22"/>
        </w:rPr>
        <w:t> </w:t>
      </w:r>
      <w:r>
        <w:rPr>
          <w:sz w:val="22"/>
        </w:rPr>
        <w:t>CA,</w:t>
      </w:r>
      <w:r>
        <w:rPr>
          <w:spacing w:val="-9"/>
          <w:sz w:val="22"/>
        </w:rPr>
        <w:t> </w:t>
      </w:r>
      <w:r>
        <w:rPr>
          <w:sz w:val="22"/>
        </w:rPr>
        <w:t>McGrath</w:t>
      </w:r>
      <w:r>
        <w:rPr>
          <w:spacing w:val="-7"/>
          <w:sz w:val="22"/>
        </w:rPr>
        <w:t> </w:t>
      </w:r>
      <w:r>
        <w:rPr>
          <w:sz w:val="22"/>
        </w:rPr>
        <w:t>JJ,</w:t>
      </w:r>
      <w:r>
        <w:rPr>
          <w:spacing w:val="-9"/>
          <w:sz w:val="22"/>
        </w:rPr>
        <w:t> </w:t>
      </w:r>
      <w:r>
        <w:rPr>
          <w:sz w:val="22"/>
        </w:rPr>
        <w:t>Ebeling</w:t>
      </w:r>
      <w:r>
        <w:rPr>
          <w:spacing w:val="-7"/>
          <w:sz w:val="22"/>
        </w:rPr>
        <w:t> </w:t>
      </w:r>
      <w:r>
        <w:rPr>
          <w:sz w:val="22"/>
        </w:rPr>
        <w:t>PR,</w:t>
      </w:r>
      <w:r>
        <w:rPr>
          <w:spacing w:val="-9"/>
          <w:sz w:val="22"/>
        </w:rPr>
        <w:t> </w:t>
      </w:r>
      <w:r>
        <w:rPr>
          <w:sz w:val="22"/>
        </w:rPr>
        <w:t>et</w:t>
      </w:r>
      <w:r>
        <w:rPr>
          <w:spacing w:val="-8"/>
          <w:sz w:val="22"/>
        </w:rPr>
        <w:t> </w:t>
      </w:r>
      <w:r>
        <w:rPr>
          <w:sz w:val="22"/>
        </w:rPr>
        <w:t>al.</w:t>
      </w:r>
      <w:r>
        <w:rPr>
          <w:spacing w:val="-10"/>
          <w:sz w:val="22"/>
        </w:rPr>
        <w:t> </w:t>
      </w:r>
      <w:r>
        <w:rPr>
          <w:sz w:val="22"/>
        </w:rPr>
        <w:t>Vitamin</w:t>
      </w:r>
      <w:r>
        <w:rPr>
          <w:spacing w:val="-10"/>
          <w:sz w:val="22"/>
        </w:rPr>
        <w:t> </w:t>
      </w:r>
      <w:r>
        <w:rPr>
          <w:sz w:val="22"/>
        </w:rPr>
        <w:t>D</w:t>
      </w:r>
      <w:r>
        <w:rPr>
          <w:spacing w:val="-8"/>
          <w:sz w:val="22"/>
        </w:rPr>
        <w:t> </w:t>
      </w:r>
      <w:r>
        <w:rPr>
          <w:sz w:val="22"/>
        </w:rPr>
        <w:t>and</w:t>
      </w:r>
      <w:r>
        <w:rPr>
          <w:spacing w:val="-7"/>
          <w:sz w:val="22"/>
        </w:rPr>
        <w:t> </w:t>
      </w:r>
      <w:r>
        <w:rPr>
          <w:sz w:val="22"/>
        </w:rPr>
        <w:t>health</w:t>
      </w:r>
      <w:r>
        <w:rPr>
          <w:spacing w:val="-10"/>
          <w:sz w:val="22"/>
        </w:rPr>
        <w:t> </w:t>
      </w:r>
      <w:r>
        <w:rPr>
          <w:sz w:val="22"/>
        </w:rPr>
        <w:t>in</w:t>
      </w:r>
      <w:r>
        <w:rPr>
          <w:spacing w:val="-8"/>
          <w:sz w:val="22"/>
        </w:rPr>
        <w:t> </w:t>
      </w:r>
      <w:r>
        <w:rPr>
          <w:sz w:val="22"/>
        </w:rPr>
        <w:t>adults</w:t>
      </w:r>
      <w:r>
        <w:rPr>
          <w:spacing w:val="-9"/>
          <w:sz w:val="22"/>
        </w:rPr>
        <w:t> </w:t>
      </w:r>
      <w:r>
        <w:rPr>
          <w:sz w:val="22"/>
        </w:rPr>
        <w:t>in</w:t>
      </w:r>
      <w:r>
        <w:rPr>
          <w:spacing w:val="-10"/>
          <w:sz w:val="22"/>
        </w:rPr>
        <w:t> </w:t>
      </w:r>
      <w:r>
        <w:rPr>
          <w:sz w:val="22"/>
        </w:rPr>
        <w:t>Australia</w:t>
      </w:r>
      <w:r>
        <w:rPr>
          <w:spacing w:val="-7"/>
          <w:sz w:val="22"/>
        </w:rPr>
        <w:t> </w:t>
      </w:r>
      <w:r>
        <w:rPr>
          <w:sz w:val="22"/>
        </w:rPr>
        <w:t>and</w:t>
      </w:r>
      <w:r>
        <w:rPr>
          <w:spacing w:val="-7"/>
          <w:sz w:val="22"/>
        </w:rPr>
        <w:t> </w:t>
      </w:r>
      <w:r>
        <w:rPr>
          <w:sz w:val="22"/>
        </w:rPr>
        <w:t>New</w:t>
      </w:r>
      <w:r>
        <w:rPr>
          <w:spacing w:val="-8"/>
          <w:sz w:val="22"/>
        </w:rPr>
        <w:t> </w:t>
      </w:r>
      <w:r>
        <w:rPr>
          <w:sz w:val="22"/>
        </w:rPr>
        <w:t>Zealand: a position statement. </w:t>
      </w:r>
      <w:r>
        <w:rPr>
          <w:i/>
          <w:sz w:val="22"/>
        </w:rPr>
        <w:t>Med J Aust.</w:t>
      </w:r>
      <w:r>
        <w:rPr>
          <w:i/>
          <w:spacing w:val="-23"/>
          <w:sz w:val="22"/>
        </w:rPr>
        <w:t> </w:t>
      </w:r>
      <w:r>
        <w:rPr>
          <w:sz w:val="22"/>
        </w:rPr>
        <w:t>2012;196(11):686-687.</w:t>
      </w:r>
    </w:p>
    <w:p>
      <w:pPr>
        <w:pStyle w:val="ListParagraph"/>
        <w:numPr>
          <w:ilvl w:val="0"/>
          <w:numId w:val="1"/>
        </w:numPr>
        <w:tabs>
          <w:tab w:pos="837" w:val="left" w:leader="none"/>
          <w:tab w:pos="838" w:val="left" w:leader="none"/>
        </w:tabs>
        <w:spacing w:line="240" w:lineRule="auto" w:before="0" w:after="0"/>
        <w:ind w:left="837" w:right="0" w:hanging="720"/>
        <w:jc w:val="left"/>
        <w:rPr>
          <w:i/>
          <w:sz w:val="22"/>
        </w:rPr>
      </w:pPr>
      <w:r>
        <w:rPr>
          <w:sz w:val="22"/>
        </w:rPr>
        <w:t>Gill</w:t>
      </w:r>
      <w:r>
        <w:rPr>
          <w:spacing w:val="10"/>
          <w:sz w:val="22"/>
        </w:rPr>
        <w:t> </w:t>
      </w:r>
      <w:r>
        <w:rPr>
          <w:sz w:val="22"/>
        </w:rPr>
        <w:t>TK,</w:t>
      </w:r>
      <w:r>
        <w:rPr>
          <w:spacing w:val="10"/>
          <w:sz w:val="22"/>
        </w:rPr>
        <w:t> </w:t>
      </w:r>
      <w:r>
        <w:rPr>
          <w:sz w:val="22"/>
        </w:rPr>
        <w:t>Hill</w:t>
      </w:r>
      <w:r>
        <w:rPr>
          <w:spacing w:val="10"/>
          <w:sz w:val="22"/>
        </w:rPr>
        <w:t> </w:t>
      </w:r>
      <w:r>
        <w:rPr>
          <w:sz w:val="22"/>
        </w:rPr>
        <w:t>CL,</w:t>
      </w:r>
      <w:r>
        <w:rPr>
          <w:spacing w:val="10"/>
          <w:sz w:val="22"/>
        </w:rPr>
        <w:t> </w:t>
      </w:r>
      <w:r>
        <w:rPr>
          <w:sz w:val="22"/>
        </w:rPr>
        <w:t>Shanahan</w:t>
      </w:r>
      <w:r>
        <w:rPr>
          <w:spacing w:val="9"/>
          <w:sz w:val="22"/>
        </w:rPr>
        <w:t> </w:t>
      </w:r>
      <w:r>
        <w:rPr>
          <w:sz w:val="22"/>
        </w:rPr>
        <w:t>EM,</w:t>
      </w:r>
      <w:r>
        <w:rPr>
          <w:spacing w:val="10"/>
          <w:sz w:val="22"/>
        </w:rPr>
        <w:t> </w:t>
      </w:r>
      <w:r>
        <w:rPr>
          <w:sz w:val="22"/>
        </w:rPr>
        <w:t>et</w:t>
      </w:r>
      <w:r>
        <w:rPr>
          <w:spacing w:val="10"/>
          <w:sz w:val="22"/>
        </w:rPr>
        <w:t> </w:t>
      </w:r>
      <w:r>
        <w:rPr>
          <w:sz w:val="22"/>
        </w:rPr>
        <w:t>al.</w:t>
      </w:r>
      <w:r>
        <w:rPr>
          <w:spacing w:val="9"/>
          <w:sz w:val="22"/>
        </w:rPr>
        <w:t> </w:t>
      </w:r>
      <w:r>
        <w:rPr>
          <w:sz w:val="22"/>
        </w:rPr>
        <w:t>Vitamin</w:t>
      </w:r>
      <w:r>
        <w:rPr>
          <w:spacing w:val="7"/>
          <w:sz w:val="22"/>
        </w:rPr>
        <w:t> </w:t>
      </w:r>
      <w:r>
        <w:rPr>
          <w:sz w:val="22"/>
        </w:rPr>
        <w:t>D</w:t>
      </w:r>
      <w:r>
        <w:rPr>
          <w:spacing w:val="11"/>
          <w:sz w:val="22"/>
        </w:rPr>
        <w:t> </w:t>
      </w:r>
      <w:r>
        <w:rPr>
          <w:sz w:val="22"/>
        </w:rPr>
        <w:t>levels</w:t>
      </w:r>
      <w:r>
        <w:rPr>
          <w:spacing w:val="8"/>
          <w:sz w:val="22"/>
        </w:rPr>
        <w:t> </w:t>
      </w:r>
      <w:r>
        <w:rPr>
          <w:sz w:val="22"/>
        </w:rPr>
        <w:t>in</w:t>
      </w:r>
      <w:r>
        <w:rPr>
          <w:spacing w:val="9"/>
          <w:sz w:val="22"/>
        </w:rPr>
        <w:t> </w:t>
      </w:r>
      <w:r>
        <w:rPr>
          <w:sz w:val="22"/>
        </w:rPr>
        <w:t>an</w:t>
      </w:r>
      <w:r>
        <w:rPr>
          <w:spacing w:val="9"/>
          <w:sz w:val="22"/>
        </w:rPr>
        <w:t> </w:t>
      </w:r>
      <w:r>
        <w:rPr>
          <w:sz w:val="22"/>
        </w:rPr>
        <w:t>Australian</w:t>
      </w:r>
      <w:r>
        <w:rPr>
          <w:spacing w:val="9"/>
          <w:sz w:val="22"/>
        </w:rPr>
        <w:t> </w:t>
      </w:r>
      <w:r>
        <w:rPr>
          <w:sz w:val="22"/>
        </w:rPr>
        <w:t>population.</w:t>
      </w:r>
      <w:r>
        <w:rPr>
          <w:spacing w:val="10"/>
          <w:sz w:val="22"/>
        </w:rPr>
        <w:t> </w:t>
      </w:r>
      <w:r>
        <w:rPr>
          <w:i/>
          <w:sz w:val="22"/>
        </w:rPr>
        <w:t>BMC</w:t>
      </w:r>
      <w:r>
        <w:rPr>
          <w:i/>
          <w:spacing w:val="7"/>
          <w:sz w:val="22"/>
        </w:rPr>
        <w:t> </w:t>
      </w:r>
      <w:r>
        <w:rPr>
          <w:i/>
          <w:sz w:val="22"/>
        </w:rPr>
        <w:t>Public</w:t>
      </w:r>
      <w:r>
        <w:rPr>
          <w:i/>
          <w:spacing w:val="9"/>
          <w:sz w:val="22"/>
        </w:rPr>
        <w:t> </w:t>
      </w:r>
      <w:r>
        <w:rPr>
          <w:i/>
          <w:sz w:val="22"/>
        </w:rPr>
        <w:t>Health.</w:t>
      </w:r>
    </w:p>
    <w:p>
      <w:pPr>
        <w:spacing w:before="0"/>
        <w:ind w:left="837" w:right="0" w:firstLine="0"/>
        <w:jc w:val="left"/>
        <w:rPr>
          <w:sz w:val="22"/>
        </w:rPr>
      </w:pPr>
      <w:r>
        <w:rPr>
          <w:sz w:val="22"/>
        </w:rPr>
        <w:t>2014;14:1001.</w:t>
      </w:r>
    </w:p>
    <w:p>
      <w:pPr>
        <w:pStyle w:val="ListParagraph"/>
        <w:numPr>
          <w:ilvl w:val="0"/>
          <w:numId w:val="1"/>
        </w:numPr>
        <w:tabs>
          <w:tab w:pos="837" w:val="left" w:leader="none"/>
          <w:tab w:pos="838" w:val="left" w:leader="none"/>
        </w:tabs>
        <w:spacing w:line="240" w:lineRule="auto" w:before="0" w:after="0"/>
        <w:ind w:left="837" w:right="123" w:hanging="720"/>
        <w:jc w:val="left"/>
        <w:rPr>
          <w:sz w:val="22"/>
        </w:rPr>
      </w:pPr>
      <w:r>
        <w:rPr>
          <w:sz w:val="22"/>
        </w:rPr>
        <w:t>Australian Government Dept. of Health, MBS Reviews, Vitamin D Testing Report. 2014; </w:t>
      </w:r>
      <w:hyperlink r:id="rId9">
        <w:r>
          <w:rPr>
            <w:color w:val="0462C1"/>
            <w:sz w:val="22"/>
            <w:u w:val="single" w:color="0462C1"/>
          </w:rPr>
          <w:t>http://www.health.gov.au/internet/main/publishing.nsf/content/02E10F68DB67D494CA257EB9001 </w:t>
        </w:r>
      </w:hyperlink>
      <w:hyperlink r:id="rId9">
        <w:r>
          <w:rPr>
            <w:color w:val="0462C1"/>
            <w:sz w:val="22"/>
            <w:u w:val="single" w:color="0462C1"/>
          </w:rPr>
          <w:t>E518E/$File/Vitamin%20D%20testing%20Review%20Report.pdf</w:t>
        </w:r>
      </w:hyperlink>
      <w:r>
        <w:rPr>
          <w:sz w:val="22"/>
        </w:rPr>
        <w:t>.</w:t>
      </w:r>
    </w:p>
    <w:p>
      <w:pPr>
        <w:spacing w:after="0" w:line="240" w:lineRule="auto"/>
        <w:jc w:val="left"/>
        <w:rPr>
          <w:sz w:val="22"/>
        </w:rPr>
        <w:sectPr>
          <w:pgSz w:w="12240" w:h="15840"/>
          <w:pgMar w:top="420" w:bottom="280" w:left="1160" w:right="1060"/>
        </w:sectPr>
      </w:pPr>
    </w:p>
    <w:p>
      <w:pPr>
        <w:pStyle w:val="ListParagraph"/>
        <w:numPr>
          <w:ilvl w:val="0"/>
          <w:numId w:val="1"/>
        </w:numPr>
        <w:tabs>
          <w:tab w:pos="837" w:val="left" w:leader="none"/>
          <w:tab w:pos="838" w:val="left" w:leader="none"/>
        </w:tabs>
        <w:spacing w:line="240" w:lineRule="auto" w:before="30" w:after="0"/>
        <w:ind w:left="837" w:right="118" w:hanging="720"/>
        <w:jc w:val="both"/>
        <w:rPr>
          <w:sz w:val="22"/>
        </w:rPr>
      </w:pPr>
      <w:r>
        <w:rPr>
          <w:sz w:val="22"/>
        </w:rPr>
        <w:t>Bolland</w:t>
      </w:r>
      <w:r>
        <w:rPr>
          <w:spacing w:val="-9"/>
          <w:sz w:val="22"/>
        </w:rPr>
        <w:t> </w:t>
      </w:r>
      <w:r>
        <w:rPr>
          <w:sz w:val="22"/>
        </w:rPr>
        <w:t>MJ,</w:t>
      </w:r>
      <w:r>
        <w:rPr>
          <w:spacing w:val="-8"/>
          <w:sz w:val="22"/>
        </w:rPr>
        <w:t> </w:t>
      </w:r>
      <w:r>
        <w:rPr>
          <w:sz w:val="22"/>
        </w:rPr>
        <w:t>Grey</w:t>
      </w:r>
      <w:r>
        <w:rPr>
          <w:spacing w:val="-7"/>
          <w:sz w:val="22"/>
        </w:rPr>
        <w:t> </w:t>
      </w:r>
      <w:r>
        <w:rPr>
          <w:sz w:val="22"/>
        </w:rPr>
        <w:t>A,</w:t>
      </w:r>
      <w:r>
        <w:rPr>
          <w:spacing w:val="-11"/>
          <w:sz w:val="22"/>
        </w:rPr>
        <w:t> </w:t>
      </w:r>
      <w:r>
        <w:rPr>
          <w:sz w:val="22"/>
        </w:rPr>
        <w:t>Gamble</w:t>
      </w:r>
      <w:r>
        <w:rPr>
          <w:spacing w:val="-8"/>
          <w:sz w:val="22"/>
        </w:rPr>
        <w:t> </w:t>
      </w:r>
      <w:r>
        <w:rPr>
          <w:sz w:val="22"/>
        </w:rPr>
        <w:t>GD,</w:t>
      </w:r>
      <w:r>
        <w:rPr>
          <w:spacing w:val="-10"/>
          <w:sz w:val="22"/>
        </w:rPr>
        <w:t> </w:t>
      </w:r>
      <w:r>
        <w:rPr>
          <w:sz w:val="22"/>
        </w:rPr>
        <w:t>Reid</w:t>
      </w:r>
      <w:r>
        <w:rPr>
          <w:spacing w:val="-9"/>
          <w:sz w:val="22"/>
        </w:rPr>
        <w:t> </w:t>
      </w:r>
      <w:r>
        <w:rPr>
          <w:sz w:val="22"/>
        </w:rPr>
        <w:t>IR.</w:t>
      </w:r>
      <w:r>
        <w:rPr>
          <w:spacing w:val="-9"/>
          <w:sz w:val="22"/>
        </w:rPr>
        <w:t> </w:t>
      </w:r>
      <w:r>
        <w:rPr>
          <w:sz w:val="22"/>
        </w:rPr>
        <w:t>The</w:t>
      </w:r>
      <w:r>
        <w:rPr>
          <w:spacing w:val="-7"/>
          <w:sz w:val="22"/>
        </w:rPr>
        <w:t> </w:t>
      </w:r>
      <w:r>
        <w:rPr>
          <w:sz w:val="22"/>
        </w:rPr>
        <w:t>effect</w:t>
      </w:r>
      <w:r>
        <w:rPr>
          <w:spacing w:val="-10"/>
          <w:sz w:val="22"/>
        </w:rPr>
        <w:t> </w:t>
      </w:r>
      <w:r>
        <w:rPr>
          <w:sz w:val="22"/>
        </w:rPr>
        <w:t>of</w:t>
      </w:r>
      <w:r>
        <w:rPr>
          <w:spacing w:val="-11"/>
          <w:sz w:val="22"/>
        </w:rPr>
        <w:t> </w:t>
      </w:r>
      <w:r>
        <w:rPr>
          <w:sz w:val="22"/>
        </w:rPr>
        <w:t>vitamin</w:t>
      </w:r>
      <w:r>
        <w:rPr>
          <w:spacing w:val="-9"/>
          <w:sz w:val="22"/>
        </w:rPr>
        <w:t> </w:t>
      </w:r>
      <w:r>
        <w:rPr>
          <w:sz w:val="22"/>
        </w:rPr>
        <w:t>D</w:t>
      </w:r>
      <w:r>
        <w:rPr>
          <w:spacing w:val="-7"/>
          <w:sz w:val="22"/>
        </w:rPr>
        <w:t> </w:t>
      </w:r>
      <w:r>
        <w:rPr>
          <w:sz w:val="22"/>
        </w:rPr>
        <w:t>supplementation</w:t>
      </w:r>
      <w:r>
        <w:rPr>
          <w:spacing w:val="-9"/>
          <w:sz w:val="22"/>
        </w:rPr>
        <w:t> </w:t>
      </w:r>
      <w:r>
        <w:rPr>
          <w:sz w:val="22"/>
        </w:rPr>
        <w:t>on</w:t>
      </w:r>
      <w:r>
        <w:rPr>
          <w:spacing w:val="-9"/>
          <w:sz w:val="22"/>
        </w:rPr>
        <w:t> </w:t>
      </w:r>
      <w:r>
        <w:rPr>
          <w:sz w:val="22"/>
        </w:rPr>
        <w:t>skeletal,</w:t>
      </w:r>
      <w:r>
        <w:rPr>
          <w:spacing w:val="-11"/>
          <w:sz w:val="22"/>
        </w:rPr>
        <w:t> </w:t>
      </w:r>
      <w:r>
        <w:rPr>
          <w:sz w:val="22"/>
        </w:rPr>
        <w:t>vascular, or cancer outcomes: a trial sequential meta-analysis. </w:t>
      </w:r>
      <w:r>
        <w:rPr>
          <w:i/>
          <w:sz w:val="22"/>
        </w:rPr>
        <w:t>The lancet Diabetes &amp; endocrinology. </w:t>
      </w:r>
      <w:r>
        <w:rPr>
          <w:sz w:val="22"/>
        </w:rPr>
        <w:t>2014;2(4):307-320.</w:t>
      </w:r>
    </w:p>
    <w:p>
      <w:pPr>
        <w:pStyle w:val="ListParagraph"/>
        <w:numPr>
          <w:ilvl w:val="0"/>
          <w:numId w:val="1"/>
        </w:numPr>
        <w:tabs>
          <w:tab w:pos="838" w:val="left" w:leader="none"/>
        </w:tabs>
        <w:spacing w:line="240" w:lineRule="auto" w:before="0" w:after="0"/>
        <w:ind w:left="837" w:right="116" w:hanging="720"/>
        <w:jc w:val="both"/>
        <w:rPr>
          <w:sz w:val="22"/>
        </w:rPr>
      </w:pPr>
      <w:r>
        <w:rPr>
          <w:sz w:val="22"/>
        </w:rPr>
        <w:t>Avenell A, Mak JC, O'Connell D. Vitamin D and vitamin D analogues for preventing fractures in post- menopausal women and older men. </w:t>
      </w:r>
      <w:r>
        <w:rPr>
          <w:i/>
          <w:sz w:val="22"/>
        </w:rPr>
        <w:t>Cochrane Database Syst Rev.</w:t>
      </w:r>
      <w:r>
        <w:rPr>
          <w:i/>
          <w:spacing w:val="-26"/>
          <w:sz w:val="22"/>
        </w:rPr>
        <w:t> </w:t>
      </w:r>
      <w:r>
        <w:rPr>
          <w:sz w:val="22"/>
        </w:rPr>
        <w:t>2014;4:CD000227.</w:t>
      </w:r>
    </w:p>
    <w:p>
      <w:pPr>
        <w:pStyle w:val="ListParagraph"/>
        <w:numPr>
          <w:ilvl w:val="0"/>
          <w:numId w:val="1"/>
        </w:numPr>
        <w:tabs>
          <w:tab w:pos="838" w:val="left" w:leader="none"/>
        </w:tabs>
        <w:spacing w:line="240" w:lineRule="auto" w:before="1" w:after="0"/>
        <w:ind w:left="837" w:right="124" w:hanging="720"/>
        <w:jc w:val="both"/>
        <w:rPr>
          <w:sz w:val="22"/>
        </w:rPr>
      </w:pPr>
      <w:r>
        <w:rPr>
          <w:sz w:val="22"/>
        </w:rPr>
        <w:t>Chapuy MC, Arlot MF, Duboeuf F, et al. Vitamin D3 and calcium to prevent hip fractures in elderly women. </w:t>
      </w:r>
      <w:r>
        <w:rPr>
          <w:i/>
          <w:sz w:val="22"/>
        </w:rPr>
        <w:t>N Engl J Med.</w:t>
      </w:r>
      <w:r>
        <w:rPr>
          <w:i/>
          <w:spacing w:val="-13"/>
          <w:sz w:val="22"/>
        </w:rPr>
        <w:t> </w:t>
      </w:r>
      <w:r>
        <w:rPr>
          <w:sz w:val="22"/>
        </w:rPr>
        <w:t>1992;327:1637-1642.</w:t>
      </w:r>
    </w:p>
    <w:p>
      <w:pPr>
        <w:pStyle w:val="ListParagraph"/>
        <w:numPr>
          <w:ilvl w:val="0"/>
          <w:numId w:val="1"/>
        </w:numPr>
        <w:tabs>
          <w:tab w:pos="838" w:val="left" w:leader="none"/>
        </w:tabs>
        <w:spacing w:line="240" w:lineRule="auto" w:before="0" w:after="0"/>
        <w:ind w:left="837" w:right="121" w:hanging="720"/>
        <w:jc w:val="both"/>
        <w:rPr>
          <w:sz w:val="22"/>
        </w:rPr>
      </w:pPr>
      <w:r>
        <w:rPr>
          <w:sz w:val="22"/>
        </w:rPr>
        <w:t>Bischoff-Ferrari HA, Willett WC, Orav EJ, et al. A pooled analysis of vitamin D dose requirements for fracture prevention. </w:t>
      </w:r>
      <w:r>
        <w:rPr>
          <w:i/>
          <w:sz w:val="22"/>
        </w:rPr>
        <w:t>N Engl J Med.</w:t>
      </w:r>
      <w:r>
        <w:rPr>
          <w:i/>
          <w:spacing w:val="-22"/>
          <w:sz w:val="22"/>
        </w:rPr>
        <w:t> </w:t>
      </w:r>
      <w:r>
        <w:rPr>
          <w:sz w:val="22"/>
        </w:rPr>
        <w:t>2012;367(1):40-49.</w:t>
      </w:r>
    </w:p>
    <w:p>
      <w:pPr>
        <w:pStyle w:val="ListParagraph"/>
        <w:numPr>
          <w:ilvl w:val="0"/>
          <w:numId w:val="1"/>
        </w:numPr>
        <w:tabs>
          <w:tab w:pos="838" w:val="left" w:leader="none"/>
        </w:tabs>
        <w:spacing w:line="240" w:lineRule="auto" w:before="2" w:after="0"/>
        <w:ind w:left="837" w:right="120" w:hanging="720"/>
        <w:jc w:val="both"/>
        <w:rPr>
          <w:sz w:val="22"/>
        </w:rPr>
      </w:pPr>
      <w:r>
        <w:rPr>
          <w:sz w:val="22"/>
        </w:rPr>
        <w:t>Gillespie LD, Robertson MC, Gillespie WJ, et al. Interventions for preventing falls in older people</w:t>
      </w:r>
      <w:r>
        <w:rPr>
          <w:spacing w:val="-33"/>
          <w:sz w:val="22"/>
        </w:rPr>
        <w:t> </w:t>
      </w:r>
      <w:r>
        <w:rPr>
          <w:sz w:val="22"/>
        </w:rPr>
        <w:t>living in the community. </w:t>
      </w:r>
      <w:r>
        <w:rPr>
          <w:i/>
          <w:sz w:val="22"/>
        </w:rPr>
        <w:t>Cochrane Database Syst Rev.</w:t>
      </w:r>
      <w:r>
        <w:rPr>
          <w:i/>
          <w:spacing w:val="-28"/>
          <w:sz w:val="22"/>
        </w:rPr>
        <w:t> </w:t>
      </w:r>
      <w:r>
        <w:rPr>
          <w:sz w:val="22"/>
        </w:rPr>
        <w:t>2012(9):CD007146.</w:t>
      </w:r>
    </w:p>
    <w:p>
      <w:pPr>
        <w:pStyle w:val="ListParagraph"/>
        <w:numPr>
          <w:ilvl w:val="0"/>
          <w:numId w:val="1"/>
        </w:numPr>
        <w:tabs>
          <w:tab w:pos="838" w:val="left" w:leader="none"/>
        </w:tabs>
        <w:spacing w:line="240" w:lineRule="auto" w:before="0" w:after="0"/>
        <w:ind w:left="837" w:right="124" w:hanging="720"/>
        <w:jc w:val="both"/>
        <w:rPr>
          <w:sz w:val="22"/>
        </w:rPr>
      </w:pPr>
      <w:r>
        <w:rPr>
          <w:sz w:val="22"/>
        </w:rPr>
        <w:t>Cummings SR, San Martin J, McClung MR, et al. Denosumab for prevention of fractures in postmenopausal women with osteoporosis. </w:t>
      </w:r>
      <w:r>
        <w:rPr>
          <w:i/>
          <w:sz w:val="22"/>
        </w:rPr>
        <w:t>N Engl J Med.</w:t>
      </w:r>
      <w:r>
        <w:rPr>
          <w:i/>
          <w:spacing w:val="-31"/>
          <w:sz w:val="22"/>
        </w:rPr>
        <w:t> </w:t>
      </w:r>
      <w:r>
        <w:rPr>
          <w:sz w:val="22"/>
        </w:rPr>
        <w:t>2009;361(8):756-765.</w:t>
      </w:r>
    </w:p>
    <w:p>
      <w:pPr>
        <w:pStyle w:val="ListParagraph"/>
        <w:numPr>
          <w:ilvl w:val="0"/>
          <w:numId w:val="1"/>
        </w:numPr>
        <w:tabs>
          <w:tab w:pos="838" w:val="left" w:leader="none"/>
        </w:tabs>
        <w:spacing w:line="240" w:lineRule="auto" w:before="0" w:after="0"/>
        <w:ind w:left="837" w:right="118" w:hanging="720"/>
        <w:jc w:val="both"/>
        <w:rPr>
          <w:sz w:val="22"/>
        </w:rPr>
      </w:pPr>
      <w:r>
        <w:rPr>
          <w:sz w:val="22"/>
        </w:rPr>
        <w:t>Black DM, Reid IR, Boonen S, et al. The effect of 3 versus 6 years of zoledronic acid treatment of osteoporosis: a randomized extension to the HORIZON-Pivotal Fracture Trial (PFT). </w:t>
      </w:r>
      <w:r>
        <w:rPr>
          <w:i/>
          <w:sz w:val="22"/>
        </w:rPr>
        <w:t>J Bone Miner Res. </w:t>
      </w:r>
      <w:r>
        <w:rPr>
          <w:sz w:val="22"/>
        </w:rPr>
        <w:t>2012;27(2):243-254.</w:t>
      </w:r>
    </w:p>
    <w:p>
      <w:pPr>
        <w:pStyle w:val="ListParagraph"/>
        <w:numPr>
          <w:ilvl w:val="0"/>
          <w:numId w:val="1"/>
        </w:numPr>
        <w:tabs>
          <w:tab w:pos="838" w:val="left" w:leader="none"/>
        </w:tabs>
        <w:spacing w:line="240" w:lineRule="auto" w:before="0" w:after="0"/>
        <w:ind w:left="837" w:right="116" w:hanging="720"/>
        <w:jc w:val="both"/>
        <w:rPr>
          <w:sz w:val="22"/>
        </w:rPr>
      </w:pPr>
      <w:r>
        <w:rPr>
          <w:sz w:val="22"/>
        </w:rPr>
        <w:t>Lewis JR, Zhu K, Prince RL. Adverse events from calcium supplementation: relationship to errors in myocardial</w:t>
      </w:r>
      <w:r>
        <w:rPr>
          <w:spacing w:val="-15"/>
          <w:sz w:val="22"/>
        </w:rPr>
        <w:t> </w:t>
      </w:r>
      <w:r>
        <w:rPr>
          <w:sz w:val="22"/>
        </w:rPr>
        <w:t>infarction</w:t>
      </w:r>
      <w:r>
        <w:rPr>
          <w:spacing w:val="-15"/>
          <w:sz w:val="22"/>
        </w:rPr>
        <w:t> </w:t>
      </w:r>
      <w:r>
        <w:rPr>
          <w:sz w:val="22"/>
        </w:rPr>
        <w:t>self-reporting</w:t>
      </w:r>
      <w:r>
        <w:rPr>
          <w:spacing w:val="-15"/>
          <w:sz w:val="22"/>
        </w:rPr>
        <w:t> </w:t>
      </w:r>
      <w:r>
        <w:rPr>
          <w:sz w:val="22"/>
        </w:rPr>
        <w:t>in</w:t>
      </w:r>
      <w:r>
        <w:rPr>
          <w:spacing w:val="-15"/>
          <w:sz w:val="22"/>
        </w:rPr>
        <w:t> </w:t>
      </w:r>
      <w:r>
        <w:rPr>
          <w:sz w:val="22"/>
        </w:rPr>
        <w:t>randomized</w:t>
      </w:r>
      <w:r>
        <w:rPr>
          <w:spacing w:val="-14"/>
          <w:sz w:val="22"/>
        </w:rPr>
        <w:t> </w:t>
      </w:r>
      <w:r>
        <w:rPr>
          <w:sz w:val="22"/>
        </w:rPr>
        <w:t>controlled</w:t>
      </w:r>
      <w:r>
        <w:rPr>
          <w:spacing w:val="-14"/>
          <w:sz w:val="22"/>
        </w:rPr>
        <w:t> </w:t>
      </w:r>
      <w:r>
        <w:rPr>
          <w:sz w:val="22"/>
        </w:rPr>
        <w:t>trials</w:t>
      </w:r>
      <w:r>
        <w:rPr>
          <w:spacing w:val="-14"/>
          <w:sz w:val="22"/>
        </w:rPr>
        <w:t> </w:t>
      </w:r>
      <w:r>
        <w:rPr>
          <w:sz w:val="22"/>
        </w:rPr>
        <w:t>of</w:t>
      </w:r>
      <w:r>
        <w:rPr>
          <w:spacing w:val="-14"/>
          <w:sz w:val="22"/>
        </w:rPr>
        <w:t> </w:t>
      </w:r>
      <w:r>
        <w:rPr>
          <w:sz w:val="22"/>
        </w:rPr>
        <w:t>calcium</w:t>
      </w:r>
      <w:r>
        <w:rPr>
          <w:spacing w:val="-13"/>
          <w:sz w:val="22"/>
        </w:rPr>
        <w:t> </w:t>
      </w:r>
      <w:r>
        <w:rPr>
          <w:sz w:val="22"/>
        </w:rPr>
        <w:t>supplementation.</w:t>
      </w:r>
      <w:r>
        <w:rPr>
          <w:spacing w:val="-12"/>
          <w:sz w:val="22"/>
        </w:rPr>
        <w:t> </w:t>
      </w:r>
      <w:r>
        <w:rPr>
          <w:i/>
          <w:sz w:val="22"/>
        </w:rPr>
        <w:t>J</w:t>
      </w:r>
      <w:r>
        <w:rPr>
          <w:i/>
          <w:spacing w:val="-15"/>
          <w:sz w:val="22"/>
        </w:rPr>
        <w:t> </w:t>
      </w:r>
      <w:r>
        <w:rPr>
          <w:i/>
          <w:sz w:val="22"/>
        </w:rPr>
        <w:t>Bone </w:t>
      </w:r>
      <w:r>
        <w:rPr>
          <w:i/>
          <w:sz w:val="22"/>
        </w:rPr>
        <w:t>Miner Res.</w:t>
      </w:r>
      <w:r>
        <w:rPr>
          <w:i/>
          <w:spacing w:val="-14"/>
          <w:sz w:val="22"/>
        </w:rPr>
        <w:t> </w:t>
      </w:r>
      <w:r>
        <w:rPr>
          <w:sz w:val="22"/>
        </w:rPr>
        <w:t>2012;27(3):719-722.</w:t>
      </w:r>
    </w:p>
    <w:p>
      <w:pPr>
        <w:pStyle w:val="ListParagraph"/>
        <w:numPr>
          <w:ilvl w:val="0"/>
          <w:numId w:val="1"/>
        </w:numPr>
        <w:tabs>
          <w:tab w:pos="837" w:val="left" w:leader="none"/>
          <w:tab w:pos="838" w:val="left" w:leader="none"/>
        </w:tabs>
        <w:spacing w:line="240" w:lineRule="auto" w:before="0" w:after="0"/>
        <w:ind w:left="837" w:right="0" w:hanging="720"/>
        <w:jc w:val="left"/>
        <w:rPr>
          <w:sz w:val="22"/>
        </w:rPr>
      </w:pPr>
      <w:r>
        <w:rPr>
          <w:sz w:val="22"/>
        </w:rPr>
        <w:t>Jackson</w:t>
      </w:r>
      <w:r>
        <w:rPr>
          <w:spacing w:val="-15"/>
          <w:sz w:val="22"/>
        </w:rPr>
        <w:t> </w:t>
      </w:r>
      <w:r>
        <w:rPr>
          <w:sz w:val="22"/>
        </w:rPr>
        <w:t>RD,</w:t>
      </w:r>
      <w:r>
        <w:rPr>
          <w:spacing w:val="-14"/>
          <w:sz w:val="22"/>
        </w:rPr>
        <w:t> </w:t>
      </w:r>
      <w:r>
        <w:rPr>
          <w:sz w:val="22"/>
        </w:rPr>
        <w:t>LaCroix</w:t>
      </w:r>
      <w:r>
        <w:rPr>
          <w:spacing w:val="-12"/>
          <w:sz w:val="22"/>
        </w:rPr>
        <w:t> </w:t>
      </w:r>
      <w:r>
        <w:rPr>
          <w:sz w:val="22"/>
        </w:rPr>
        <w:t>AZ,</w:t>
      </w:r>
      <w:r>
        <w:rPr>
          <w:spacing w:val="-11"/>
          <w:sz w:val="22"/>
        </w:rPr>
        <w:t> </w:t>
      </w:r>
      <w:r>
        <w:rPr>
          <w:sz w:val="22"/>
        </w:rPr>
        <w:t>Gass</w:t>
      </w:r>
      <w:r>
        <w:rPr>
          <w:spacing w:val="-11"/>
          <w:sz w:val="22"/>
        </w:rPr>
        <w:t> </w:t>
      </w:r>
      <w:r>
        <w:rPr>
          <w:sz w:val="22"/>
        </w:rPr>
        <w:t>M,</w:t>
      </w:r>
      <w:r>
        <w:rPr>
          <w:spacing w:val="-14"/>
          <w:sz w:val="22"/>
        </w:rPr>
        <w:t> </w:t>
      </w:r>
      <w:r>
        <w:rPr>
          <w:sz w:val="22"/>
        </w:rPr>
        <w:t>et</w:t>
      </w:r>
      <w:r>
        <w:rPr>
          <w:spacing w:val="-11"/>
          <w:sz w:val="22"/>
        </w:rPr>
        <w:t> </w:t>
      </w:r>
      <w:r>
        <w:rPr>
          <w:sz w:val="22"/>
        </w:rPr>
        <w:t>al.</w:t>
      </w:r>
      <w:r>
        <w:rPr>
          <w:spacing w:val="-15"/>
          <w:sz w:val="22"/>
        </w:rPr>
        <w:t> </w:t>
      </w:r>
      <w:r>
        <w:rPr>
          <w:sz w:val="22"/>
        </w:rPr>
        <w:t>Calcium</w:t>
      </w:r>
      <w:r>
        <w:rPr>
          <w:spacing w:val="-10"/>
          <w:sz w:val="22"/>
        </w:rPr>
        <w:t> </w:t>
      </w:r>
      <w:r>
        <w:rPr>
          <w:sz w:val="22"/>
        </w:rPr>
        <w:t>plus</w:t>
      </w:r>
      <w:r>
        <w:rPr>
          <w:spacing w:val="-14"/>
          <w:sz w:val="22"/>
        </w:rPr>
        <w:t> </w:t>
      </w:r>
      <w:r>
        <w:rPr>
          <w:sz w:val="22"/>
        </w:rPr>
        <w:t>vitamin</w:t>
      </w:r>
      <w:r>
        <w:rPr>
          <w:spacing w:val="-15"/>
          <w:sz w:val="22"/>
        </w:rPr>
        <w:t> </w:t>
      </w:r>
      <w:r>
        <w:rPr>
          <w:sz w:val="22"/>
        </w:rPr>
        <w:t>D</w:t>
      </w:r>
      <w:r>
        <w:rPr>
          <w:spacing w:val="-13"/>
          <w:sz w:val="22"/>
        </w:rPr>
        <w:t> </w:t>
      </w:r>
      <w:r>
        <w:rPr>
          <w:sz w:val="22"/>
        </w:rPr>
        <w:t>supplementation</w:t>
      </w:r>
      <w:r>
        <w:rPr>
          <w:spacing w:val="-12"/>
          <w:sz w:val="22"/>
        </w:rPr>
        <w:t> </w:t>
      </w:r>
      <w:r>
        <w:rPr>
          <w:sz w:val="22"/>
        </w:rPr>
        <w:t>and</w:t>
      </w:r>
      <w:r>
        <w:rPr>
          <w:spacing w:val="-12"/>
          <w:sz w:val="22"/>
        </w:rPr>
        <w:t> </w:t>
      </w:r>
      <w:r>
        <w:rPr>
          <w:sz w:val="22"/>
        </w:rPr>
        <w:t>the</w:t>
      </w:r>
      <w:r>
        <w:rPr>
          <w:spacing w:val="-14"/>
          <w:sz w:val="22"/>
        </w:rPr>
        <w:t> </w:t>
      </w:r>
      <w:r>
        <w:rPr>
          <w:sz w:val="22"/>
        </w:rPr>
        <w:t>risk</w:t>
      </w:r>
      <w:r>
        <w:rPr>
          <w:spacing w:val="-14"/>
          <w:sz w:val="22"/>
        </w:rPr>
        <w:t> </w:t>
      </w:r>
      <w:r>
        <w:rPr>
          <w:sz w:val="22"/>
        </w:rPr>
        <w:t>of</w:t>
      </w:r>
      <w:r>
        <w:rPr>
          <w:spacing w:val="-14"/>
          <w:sz w:val="22"/>
        </w:rPr>
        <w:t> </w:t>
      </w:r>
      <w:r>
        <w:rPr>
          <w:sz w:val="22"/>
        </w:rPr>
        <w:t>fractures.</w:t>
      </w:r>
    </w:p>
    <w:p>
      <w:pPr>
        <w:spacing w:before="0"/>
        <w:ind w:left="837" w:right="0" w:firstLine="0"/>
        <w:jc w:val="left"/>
        <w:rPr>
          <w:sz w:val="22"/>
        </w:rPr>
      </w:pPr>
      <w:r>
        <w:rPr>
          <w:i/>
          <w:sz w:val="22"/>
        </w:rPr>
        <w:t>N Engl J Med. </w:t>
      </w:r>
      <w:r>
        <w:rPr>
          <w:sz w:val="22"/>
        </w:rPr>
        <w:t>2006;354(7):669-683.</w:t>
      </w:r>
    </w:p>
    <w:p>
      <w:pPr>
        <w:pStyle w:val="ListParagraph"/>
        <w:numPr>
          <w:ilvl w:val="0"/>
          <w:numId w:val="1"/>
        </w:numPr>
        <w:tabs>
          <w:tab w:pos="838" w:val="left" w:leader="none"/>
        </w:tabs>
        <w:spacing w:line="240" w:lineRule="auto" w:before="0" w:after="0"/>
        <w:ind w:left="837" w:right="119" w:hanging="720"/>
        <w:jc w:val="both"/>
        <w:rPr>
          <w:sz w:val="22"/>
        </w:rPr>
      </w:pPr>
      <w:r>
        <w:rPr>
          <w:sz w:val="22"/>
        </w:rPr>
        <w:t>Harvey</w:t>
      </w:r>
      <w:r>
        <w:rPr>
          <w:spacing w:val="-10"/>
          <w:sz w:val="22"/>
        </w:rPr>
        <w:t> </w:t>
      </w:r>
      <w:r>
        <w:rPr>
          <w:sz w:val="22"/>
        </w:rPr>
        <w:t>NC,</w:t>
      </w:r>
      <w:r>
        <w:rPr>
          <w:spacing w:val="-9"/>
          <w:sz w:val="22"/>
        </w:rPr>
        <w:t> </w:t>
      </w:r>
      <w:r>
        <w:rPr>
          <w:sz w:val="22"/>
        </w:rPr>
        <w:t>Biver</w:t>
      </w:r>
      <w:r>
        <w:rPr>
          <w:spacing w:val="-11"/>
          <w:sz w:val="22"/>
        </w:rPr>
        <w:t> </w:t>
      </w:r>
      <w:r>
        <w:rPr>
          <w:sz w:val="22"/>
        </w:rPr>
        <w:t>E,</w:t>
      </w:r>
      <w:r>
        <w:rPr>
          <w:spacing w:val="-9"/>
          <w:sz w:val="22"/>
        </w:rPr>
        <w:t> </w:t>
      </w:r>
      <w:r>
        <w:rPr>
          <w:sz w:val="22"/>
        </w:rPr>
        <w:t>Kaufman</w:t>
      </w:r>
      <w:r>
        <w:rPr>
          <w:spacing w:val="-10"/>
          <w:sz w:val="22"/>
        </w:rPr>
        <w:t> </w:t>
      </w:r>
      <w:r>
        <w:rPr>
          <w:sz w:val="22"/>
        </w:rPr>
        <w:t>JM,</w:t>
      </w:r>
      <w:r>
        <w:rPr>
          <w:spacing w:val="-9"/>
          <w:sz w:val="22"/>
        </w:rPr>
        <w:t> </w:t>
      </w:r>
      <w:r>
        <w:rPr>
          <w:sz w:val="22"/>
        </w:rPr>
        <w:t>et</w:t>
      </w:r>
      <w:r>
        <w:rPr>
          <w:spacing w:val="-8"/>
          <w:sz w:val="22"/>
        </w:rPr>
        <w:t> </w:t>
      </w:r>
      <w:r>
        <w:rPr>
          <w:sz w:val="22"/>
        </w:rPr>
        <w:t>al.</w:t>
      </w:r>
      <w:r>
        <w:rPr>
          <w:spacing w:val="-10"/>
          <w:sz w:val="22"/>
        </w:rPr>
        <w:t> </w:t>
      </w:r>
      <w:r>
        <w:rPr>
          <w:sz w:val="22"/>
        </w:rPr>
        <w:t>The</w:t>
      </w:r>
      <w:r>
        <w:rPr>
          <w:spacing w:val="-8"/>
          <w:sz w:val="22"/>
        </w:rPr>
        <w:t> </w:t>
      </w:r>
      <w:r>
        <w:rPr>
          <w:sz w:val="22"/>
        </w:rPr>
        <w:t>role</w:t>
      </w:r>
      <w:r>
        <w:rPr>
          <w:spacing w:val="-11"/>
          <w:sz w:val="22"/>
        </w:rPr>
        <w:t> </w:t>
      </w:r>
      <w:r>
        <w:rPr>
          <w:sz w:val="22"/>
        </w:rPr>
        <w:t>of</w:t>
      </w:r>
      <w:r>
        <w:rPr>
          <w:spacing w:val="-9"/>
          <w:sz w:val="22"/>
        </w:rPr>
        <w:t> </w:t>
      </w:r>
      <w:r>
        <w:rPr>
          <w:sz w:val="22"/>
        </w:rPr>
        <w:t>calcium</w:t>
      </w:r>
      <w:r>
        <w:rPr>
          <w:spacing w:val="-8"/>
          <w:sz w:val="22"/>
        </w:rPr>
        <w:t> </w:t>
      </w:r>
      <w:r>
        <w:rPr>
          <w:sz w:val="22"/>
        </w:rPr>
        <w:t>supplementation</w:t>
      </w:r>
      <w:r>
        <w:rPr>
          <w:spacing w:val="-10"/>
          <w:sz w:val="22"/>
        </w:rPr>
        <w:t> </w:t>
      </w:r>
      <w:r>
        <w:rPr>
          <w:sz w:val="22"/>
        </w:rPr>
        <w:t>in</w:t>
      </w:r>
      <w:r>
        <w:rPr>
          <w:spacing w:val="-10"/>
          <w:sz w:val="22"/>
        </w:rPr>
        <w:t> </w:t>
      </w:r>
      <w:r>
        <w:rPr>
          <w:sz w:val="22"/>
        </w:rPr>
        <w:t>healthy</w:t>
      </w:r>
      <w:r>
        <w:rPr>
          <w:spacing w:val="-11"/>
          <w:sz w:val="22"/>
        </w:rPr>
        <w:t> </w:t>
      </w:r>
      <w:r>
        <w:rPr>
          <w:sz w:val="22"/>
        </w:rPr>
        <w:t>musculoskeletal ageing : An expert consensus meeting of the European Society for Clinical and Economic Aspects of Osteoporosis, Osteoarthritis and Musculoskeletal Diseases (ESCEO) and the International Foundation for Osteoporosis (IOF). </w:t>
      </w:r>
      <w:r>
        <w:rPr>
          <w:i/>
          <w:sz w:val="22"/>
        </w:rPr>
        <w:t>Osteoporos Int.</w:t>
      </w:r>
      <w:r>
        <w:rPr>
          <w:i/>
          <w:spacing w:val="-26"/>
          <w:sz w:val="22"/>
        </w:rPr>
        <w:t> </w:t>
      </w:r>
      <w:r>
        <w:rPr>
          <w:sz w:val="22"/>
        </w:rPr>
        <w:t>2017;28(2):447-462.</w:t>
      </w:r>
    </w:p>
    <w:p>
      <w:pPr>
        <w:pStyle w:val="ListParagraph"/>
        <w:numPr>
          <w:ilvl w:val="0"/>
          <w:numId w:val="1"/>
        </w:numPr>
        <w:tabs>
          <w:tab w:pos="838" w:val="left" w:leader="none"/>
        </w:tabs>
        <w:spacing w:line="240" w:lineRule="auto" w:before="0" w:after="0"/>
        <w:ind w:left="837" w:right="121" w:hanging="720"/>
        <w:jc w:val="both"/>
        <w:rPr>
          <w:sz w:val="22"/>
        </w:rPr>
      </w:pPr>
      <w:r>
        <w:rPr>
          <w:sz w:val="22"/>
        </w:rPr>
        <w:t>Chung M, Tang AM, Fu Z, Wang DD, Newberry SJ. Calcium Intake and Cardiovascular Disease Risk: An Updated Systematic Review and Meta-analysis. </w:t>
      </w:r>
      <w:r>
        <w:rPr>
          <w:i/>
          <w:sz w:val="22"/>
        </w:rPr>
        <w:t>Ann Intern Med.</w:t>
      </w:r>
      <w:r>
        <w:rPr>
          <w:i/>
          <w:spacing w:val="-30"/>
          <w:sz w:val="22"/>
        </w:rPr>
        <w:t> </w:t>
      </w:r>
      <w:r>
        <w:rPr>
          <w:sz w:val="22"/>
        </w:rPr>
        <w:t>2016;165(12):856-866.</w:t>
      </w:r>
    </w:p>
    <w:p>
      <w:pPr>
        <w:pStyle w:val="ListParagraph"/>
        <w:numPr>
          <w:ilvl w:val="0"/>
          <w:numId w:val="1"/>
        </w:numPr>
        <w:tabs>
          <w:tab w:pos="838" w:val="left" w:leader="none"/>
        </w:tabs>
        <w:spacing w:line="240" w:lineRule="auto" w:before="0" w:after="0"/>
        <w:ind w:left="837" w:right="119" w:hanging="720"/>
        <w:jc w:val="both"/>
        <w:rPr>
          <w:sz w:val="22"/>
        </w:rPr>
      </w:pPr>
      <w:r>
        <w:rPr>
          <w:sz w:val="22"/>
        </w:rPr>
        <w:t>Sanders KM, Seibel MJ. Therapy: New findings on vitamin D3 supplementation and falls - when more is perhaps not better. </w:t>
      </w:r>
      <w:r>
        <w:rPr>
          <w:i/>
          <w:sz w:val="22"/>
        </w:rPr>
        <w:t>Nat Rev Endocrinol.</w:t>
      </w:r>
      <w:r>
        <w:rPr>
          <w:i/>
          <w:spacing w:val="-24"/>
          <w:sz w:val="22"/>
        </w:rPr>
        <w:t> </w:t>
      </w:r>
      <w:r>
        <w:rPr>
          <w:sz w:val="22"/>
        </w:rPr>
        <w:t>2016;12(4):190-191.</w:t>
      </w:r>
    </w:p>
    <w:p>
      <w:pPr>
        <w:pStyle w:val="ListParagraph"/>
        <w:numPr>
          <w:ilvl w:val="0"/>
          <w:numId w:val="1"/>
        </w:numPr>
        <w:tabs>
          <w:tab w:pos="838" w:val="left" w:leader="none"/>
        </w:tabs>
        <w:spacing w:line="240" w:lineRule="auto" w:before="2" w:after="0"/>
        <w:ind w:left="837" w:right="116" w:hanging="720"/>
        <w:jc w:val="both"/>
        <w:rPr>
          <w:sz w:val="22"/>
        </w:rPr>
      </w:pPr>
      <w:r>
        <w:rPr>
          <w:sz w:val="22"/>
        </w:rPr>
        <w:t>Smith LM, Gallagher JC, Suiter C. Medium doses of daily vitamin D decrease falls and higher doses of daily vitamin D3 increase falls: A randomized clinical trial. </w:t>
      </w:r>
      <w:r>
        <w:rPr>
          <w:i/>
          <w:sz w:val="22"/>
        </w:rPr>
        <w:t>J Steroid Biochem Mol Biol. </w:t>
      </w:r>
      <w:r>
        <w:rPr>
          <w:sz w:val="22"/>
        </w:rPr>
        <w:t>2017;173:317- 322.</w:t>
      </w:r>
    </w:p>
    <w:p>
      <w:pPr>
        <w:pStyle w:val="ListParagraph"/>
        <w:numPr>
          <w:ilvl w:val="0"/>
          <w:numId w:val="1"/>
        </w:numPr>
        <w:tabs>
          <w:tab w:pos="838" w:val="left" w:leader="none"/>
        </w:tabs>
        <w:spacing w:line="240" w:lineRule="auto" w:before="0" w:after="0"/>
        <w:ind w:left="837" w:right="120" w:hanging="720"/>
        <w:jc w:val="both"/>
        <w:rPr>
          <w:sz w:val="22"/>
        </w:rPr>
      </w:pPr>
      <w:r>
        <w:rPr>
          <w:sz w:val="22"/>
        </w:rPr>
        <w:t>Sanders KM, Stuart AL, Williamson EJ, et al. Annual high-dose oral vitamin D and falls and fractures in older women: a randomized controlled trial. </w:t>
      </w:r>
      <w:r>
        <w:rPr>
          <w:i/>
          <w:sz w:val="22"/>
        </w:rPr>
        <w:t>JAMA.</w:t>
      </w:r>
      <w:r>
        <w:rPr>
          <w:i/>
          <w:spacing w:val="-25"/>
          <w:sz w:val="22"/>
        </w:rPr>
        <w:t> </w:t>
      </w:r>
      <w:r>
        <w:rPr>
          <w:sz w:val="22"/>
        </w:rPr>
        <w:t>2010;303(18):1815-1822.</w:t>
      </w:r>
    </w:p>
    <w:p>
      <w:pPr>
        <w:pStyle w:val="ListParagraph"/>
        <w:numPr>
          <w:ilvl w:val="0"/>
          <w:numId w:val="1"/>
        </w:numPr>
        <w:tabs>
          <w:tab w:pos="838" w:val="left" w:leader="none"/>
        </w:tabs>
        <w:spacing w:line="240" w:lineRule="auto" w:before="0" w:after="0"/>
        <w:ind w:left="837" w:right="118" w:hanging="720"/>
        <w:jc w:val="both"/>
        <w:rPr>
          <w:sz w:val="22"/>
        </w:rPr>
      </w:pPr>
      <w:r>
        <w:rPr>
          <w:sz w:val="22"/>
        </w:rPr>
        <w:t>Bleicher</w:t>
      </w:r>
      <w:r>
        <w:rPr>
          <w:spacing w:val="-16"/>
          <w:sz w:val="22"/>
        </w:rPr>
        <w:t> </w:t>
      </w:r>
      <w:r>
        <w:rPr>
          <w:sz w:val="22"/>
        </w:rPr>
        <w:t>K,</w:t>
      </w:r>
      <w:r>
        <w:rPr>
          <w:spacing w:val="-13"/>
          <w:sz w:val="22"/>
        </w:rPr>
        <w:t> </w:t>
      </w:r>
      <w:r>
        <w:rPr>
          <w:sz w:val="22"/>
        </w:rPr>
        <w:t>Cumming</w:t>
      </w:r>
      <w:r>
        <w:rPr>
          <w:spacing w:val="-15"/>
          <w:sz w:val="22"/>
        </w:rPr>
        <w:t> </w:t>
      </w:r>
      <w:r>
        <w:rPr>
          <w:sz w:val="22"/>
        </w:rPr>
        <w:t>RG,</w:t>
      </w:r>
      <w:r>
        <w:rPr>
          <w:spacing w:val="-16"/>
          <w:sz w:val="22"/>
        </w:rPr>
        <w:t> </w:t>
      </w:r>
      <w:r>
        <w:rPr>
          <w:sz w:val="22"/>
        </w:rPr>
        <w:t>Naganathan</w:t>
      </w:r>
      <w:r>
        <w:rPr>
          <w:spacing w:val="-15"/>
          <w:sz w:val="22"/>
        </w:rPr>
        <w:t> </w:t>
      </w:r>
      <w:r>
        <w:rPr>
          <w:sz w:val="22"/>
        </w:rPr>
        <w:t>V,</w:t>
      </w:r>
      <w:r>
        <w:rPr>
          <w:spacing w:val="-14"/>
          <w:sz w:val="22"/>
        </w:rPr>
        <w:t> </w:t>
      </w:r>
      <w:r>
        <w:rPr>
          <w:sz w:val="22"/>
        </w:rPr>
        <w:t>et</w:t>
      </w:r>
      <w:r>
        <w:rPr>
          <w:spacing w:val="-13"/>
          <w:sz w:val="22"/>
        </w:rPr>
        <w:t> </w:t>
      </w:r>
      <w:r>
        <w:rPr>
          <w:sz w:val="22"/>
        </w:rPr>
        <w:t>al.</w:t>
      </w:r>
      <w:r>
        <w:rPr>
          <w:spacing w:val="-17"/>
          <w:sz w:val="22"/>
        </w:rPr>
        <w:t> </w:t>
      </w:r>
      <w:r>
        <w:rPr>
          <w:sz w:val="22"/>
        </w:rPr>
        <w:t>U-shaped</w:t>
      </w:r>
      <w:r>
        <w:rPr>
          <w:spacing w:val="-15"/>
          <w:sz w:val="22"/>
        </w:rPr>
        <w:t> </w:t>
      </w:r>
      <w:r>
        <w:rPr>
          <w:sz w:val="22"/>
        </w:rPr>
        <w:t>association</w:t>
      </w:r>
      <w:r>
        <w:rPr>
          <w:spacing w:val="-15"/>
          <w:sz w:val="22"/>
        </w:rPr>
        <w:t> </w:t>
      </w:r>
      <w:r>
        <w:rPr>
          <w:sz w:val="22"/>
        </w:rPr>
        <w:t>between</w:t>
      </w:r>
      <w:r>
        <w:rPr>
          <w:spacing w:val="-14"/>
          <w:sz w:val="22"/>
        </w:rPr>
        <w:t> </w:t>
      </w:r>
      <w:r>
        <w:rPr>
          <w:sz w:val="22"/>
        </w:rPr>
        <w:t>serum</w:t>
      </w:r>
      <w:r>
        <w:rPr>
          <w:spacing w:val="-15"/>
          <w:sz w:val="22"/>
        </w:rPr>
        <w:t> </w:t>
      </w:r>
      <w:r>
        <w:rPr>
          <w:sz w:val="22"/>
        </w:rPr>
        <w:t>25-hydroxyvitamin D and fracture risk in older men: results from the prospective population-based CHAMP study. </w:t>
      </w:r>
      <w:r>
        <w:rPr>
          <w:i/>
          <w:sz w:val="22"/>
        </w:rPr>
        <w:t>J Bone </w:t>
      </w:r>
      <w:r>
        <w:rPr>
          <w:i/>
          <w:sz w:val="22"/>
        </w:rPr>
        <w:t>Miner Res.</w:t>
      </w:r>
      <w:r>
        <w:rPr>
          <w:i/>
          <w:spacing w:val="-15"/>
          <w:sz w:val="22"/>
        </w:rPr>
        <w:t> </w:t>
      </w:r>
      <w:r>
        <w:rPr>
          <w:sz w:val="22"/>
        </w:rPr>
        <w:t>2014;29(9):2024-2031.</w:t>
      </w:r>
    </w:p>
    <w:p>
      <w:pPr>
        <w:pStyle w:val="BodyText"/>
        <w:rPr>
          <w:sz w:val="22"/>
        </w:rPr>
      </w:pPr>
    </w:p>
    <w:p>
      <w:pPr>
        <w:pStyle w:val="Heading1"/>
        <w:spacing w:before="187"/>
      </w:pPr>
      <w:r>
        <w:rPr/>
        <w:pict>
          <v:shapetype id="_x0000_t202" o:spt="202" coordsize="21600,21600" path="m,l,21600r21600,l21600,xe">
            <v:stroke joinstyle="miter"/>
            <v:path gradientshapeok="t" o:connecttype="rect"/>
          </v:shapetype>
          <v:shape style="position:absolute;margin-left:130.940002pt;margin-top:10.935746pt;width:355.2pt;height:170.8pt;mso-position-horizontal-relative:page;mso-position-vertical-relative:paragraph;z-index:1048"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844"/>
                    <w:gridCol w:w="2836"/>
                    <w:gridCol w:w="2401"/>
                  </w:tblGrid>
                  <w:tr>
                    <w:trPr>
                      <w:trHeight w:val="430" w:hRule="exact"/>
                    </w:trPr>
                    <w:tc>
                      <w:tcPr>
                        <w:tcW w:w="1844" w:type="dxa"/>
                        <w:tcBorders>
                          <w:top w:val="single" w:sz="6" w:space="0" w:color="CAD2D6"/>
                          <w:left w:val="single" w:sz="6" w:space="0" w:color="CAD2D6"/>
                          <w:bottom w:val="single" w:sz="4" w:space="0" w:color="000000"/>
                        </w:tcBorders>
                        <w:shd w:val="clear" w:color="auto" w:fill="F6F6F6"/>
                      </w:tcPr>
                      <w:p>
                        <w:pPr>
                          <w:pStyle w:val="TableParagraph"/>
                          <w:spacing w:before="71"/>
                          <w:jc w:val="left"/>
                          <w:rPr>
                            <w:b/>
                            <w:sz w:val="22"/>
                          </w:rPr>
                        </w:pPr>
                        <w:r>
                          <w:rPr>
                            <w:b/>
                            <w:sz w:val="22"/>
                          </w:rPr>
                          <w:t>Age (yrs)</w:t>
                        </w:r>
                      </w:p>
                    </w:tc>
                    <w:tc>
                      <w:tcPr>
                        <w:tcW w:w="2836" w:type="dxa"/>
                        <w:tcBorders>
                          <w:top w:val="single" w:sz="6" w:space="0" w:color="CAD2D6"/>
                          <w:bottom w:val="single" w:sz="4" w:space="0" w:color="000000"/>
                        </w:tcBorders>
                        <w:shd w:val="clear" w:color="auto" w:fill="F6F6F6"/>
                      </w:tcPr>
                      <w:p>
                        <w:pPr>
                          <w:pStyle w:val="TableParagraph"/>
                          <w:spacing w:before="71"/>
                          <w:ind w:left="942" w:right="617"/>
                          <w:rPr>
                            <w:b/>
                            <w:sz w:val="22"/>
                          </w:rPr>
                        </w:pPr>
                        <w:r>
                          <w:rPr>
                            <w:b/>
                            <w:sz w:val="22"/>
                          </w:rPr>
                          <w:t>Men</w:t>
                        </w:r>
                      </w:p>
                    </w:tc>
                    <w:tc>
                      <w:tcPr>
                        <w:tcW w:w="2401" w:type="dxa"/>
                        <w:tcBorders>
                          <w:top w:val="single" w:sz="6" w:space="0" w:color="CAD2D6"/>
                          <w:bottom w:val="single" w:sz="4" w:space="0" w:color="000000"/>
                          <w:right w:val="single" w:sz="6" w:space="0" w:color="CAD2D6"/>
                        </w:tcBorders>
                        <w:shd w:val="clear" w:color="auto" w:fill="F6F6F6"/>
                      </w:tcPr>
                      <w:p>
                        <w:pPr>
                          <w:pStyle w:val="TableParagraph"/>
                          <w:spacing w:before="71"/>
                          <w:ind w:left="615" w:right="501"/>
                          <w:rPr>
                            <w:b/>
                            <w:sz w:val="22"/>
                          </w:rPr>
                        </w:pPr>
                        <w:r>
                          <w:rPr>
                            <w:b/>
                            <w:sz w:val="22"/>
                          </w:rPr>
                          <w:t>Women</w:t>
                        </w:r>
                      </w:p>
                    </w:tc>
                  </w:tr>
                  <w:tr>
                    <w:trPr>
                      <w:trHeight w:val="488" w:hRule="exact"/>
                    </w:trPr>
                    <w:tc>
                      <w:tcPr>
                        <w:tcW w:w="1844" w:type="dxa"/>
                        <w:tcBorders>
                          <w:top w:val="single" w:sz="4" w:space="0" w:color="000000"/>
                          <w:left w:val="single" w:sz="6" w:space="0" w:color="CAD2D6"/>
                        </w:tcBorders>
                        <w:shd w:val="clear" w:color="auto" w:fill="F6F6F6"/>
                      </w:tcPr>
                      <w:p>
                        <w:pPr>
                          <w:pStyle w:val="TableParagraph"/>
                          <w:spacing w:before="105"/>
                          <w:jc w:val="left"/>
                          <w:rPr>
                            <w:b/>
                            <w:sz w:val="22"/>
                          </w:rPr>
                        </w:pPr>
                        <w:r>
                          <w:rPr>
                            <w:b/>
                            <w:sz w:val="22"/>
                          </w:rPr>
                          <w:t>19-30</w:t>
                        </w:r>
                      </w:p>
                    </w:tc>
                    <w:tc>
                      <w:tcPr>
                        <w:tcW w:w="2836" w:type="dxa"/>
                        <w:tcBorders>
                          <w:top w:val="single" w:sz="4" w:space="0" w:color="000000"/>
                        </w:tcBorders>
                        <w:shd w:val="clear" w:color="auto" w:fill="F6F6F6"/>
                      </w:tcPr>
                      <w:p>
                        <w:pPr>
                          <w:pStyle w:val="TableParagraph"/>
                          <w:spacing w:before="105"/>
                          <w:ind w:left="942" w:right="617"/>
                          <w:rPr>
                            <w:sz w:val="22"/>
                          </w:rPr>
                        </w:pPr>
                        <w:r>
                          <w:rPr>
                            <w:sz w:val="22"/>
                          </w:rPr>
                          <w:t>1,000 mg/day</w:t>
                        </w:r>
                      </w:p>
                    </w:tc>
                    <w:tc>
                      <w:tcPr>
                        <w:tcW w:w="2401" w:type="dxa"/>
                        <w:tcBorders>
                          <w:top w:val="single" w:sz="4" w:space="0" w:color="000000"/>
                          <w:right w:val="single" w:sz="6" w:space="0" w:color="CAD2D6"/>
                        </w:tcBorders>
                        <w:shd w:val="clear" w:color="auto" w:fill="F6F6F6"/>
                      </w:tcPr>
                      <w:p>
                        <w:pPr>
                          <w:pStyle w:val="TableParagraph"/>
                          <w:spacing w:before="105"/>
                          <w:ind w:left="617" w:right="501"/>
                          <w:rPr>
                            <w:sz w:val="22"/>
                          </w:rPr>
                        </w:pPr>
                        <w:r>
                          <w:rPr>
                            <w:sz w:val="22"/>
                          </w:rPr>
                          <w:t>1,000 mg/day</w:t>
                        </w:r>
                      </w:p>
                    </w:tc>
                  </w:tr>
                  <w:tr>
                    <w:trPr>
                      <w:trHeight w:val="438" w:hRule="exact"/>
                    </w:trPr>
                    <w:tc>
                      <w:tcPr>
                        <w:tcW w:w="1844" w:type="dxa"/>
                        <w:tcBorders>
                          <w:left w:val="single" w:sz="6" w:space="0" w:color="CAD2D6"/>
                        </w:tcBorders>
                        <w:shd w:val="clear" w:color="auto" w:fill="F6F6F6"/>
                      </w:tcPr>
                      <w:p>
                        <w:pPr>
                          <w:pStyle w:val="TableParagraph"/>
                          <w:spacing w:before="70"/>
                          <w:jc w:val="left"/>
                          <w:rPr>
                            <w:b/>
                            <w:sz w:val="22"/>
                          </w:rPr>
                        </w:pPr>
                        <w:r>
                          <w:rPr>
                            <w:b/>
                            <w:sz w:val="22"/>
                          </w:rPr>
                          <w:t>31-50</w:t>
                        </w:r>
                      </w:p>
                    </w:tc>
                    <w:tc>
                      <w:tcPr>
                        <w:tcW w:w="2836" w:type="dxa"/>
                        <w:shd w:val="clear" w:color="auto" w:fill="F6F6F6"/>
                      </w:tcPr>
                      <w:p>
                        <w:pPr>
                          <w:pStyle w:val="TableParagraph"/>
                          <w:spacing w:before="70"/>
                          <w:ind w:left="942" w:right="617"/>
                          <w:rPr>
                            <w:sz w:val="22"/>
                          </w:rPr>
                        </w:pPr>
                        <w:r>
                          <w:rPr>
                            <w:sz w:val="22"/>
                          </w:rPr>
                          <w:t>1,000 mg/day</w:t>
                        </w:r>
                      </w:p>
                    </w:tc>
                    <w:tc>
                      <w:tcPr>
                        <w:tcW w:w="2401" w:type="dxa"/>
                        <w:tcBorders>
                          <w:right w:val="single" w:sz="6" w:space="0" w:color="CAD2D6"/>
                        </w:tcBorders>
                        <w:shd w:val="clear" w:color="auto" w:fill="F6F6F6"/>
                      </w:tcPr>
                      <w:p>
                        <w:pPr>
                          <w:pStyle w:val="TableParagraph"/>
                          <w:spacing w:before="70"/>
                          <w:ind w:left="617" w:right="501"/>
                          <w:rPr>
                            <w:sz w:val="22"/>
                          </w:rPr>
                        </w:pPr>
                        <w:r>
                          <w:rPr>
                            <w:sz w:val="22"/>
                          </w:rPr>
                          <w:t>1,000 mg/day</w:t>
                        </w:r>
                      </w:p>
                    </w:tc>
                  </w:tr>
                  <w:tr>
                    <w:trPr>
                      <w:trHeight w:val="428" w:hRule="exact"/>
                    </w:trPr>
                    <w:tc>
                      <w:tcPr>
                        <w:tcW w:w="1844" w:type="dxa"/>
                        <w:tcBorders>
                          <w:left w:val="single" w:sz="6" w:space="0" w:color="CAD2D6"/>
                        </w:tcBorders>
                        <w:shd w:val="clear" w:color="auto" w:fill="F6F6F6"/>
                      </w:tcPr>
                      <w:p>
                        <w:pPr>
                          <w:pStyle w:val="TableParagraph"/>
                          <w:jc w:val="left"/>
                          <w:rPr>
                            <w:b/>
                            <w:sz w:val="22"/>
                          </w:rPr>
                        </w:pPr>
                        <w:r>
                          <w:rPr>
                            <w:b/>
                            <w:sz w:val="22"/>
                          </w:rPr>
                          <w:t>51-70</w:t>
                        </w:r>
                      </w:p>
                    </w:tc>
                    <w:tc>
                      <w:tcPr>
                        <w:tcW w:w="2836" w:type="dxa"/>
                        <w:shd w:val="clear" w:color="auto" w:fill="F6F6F6"/>
                      </w:tcPr>
                      <w:p>
                        <w:pPr>
                          <w:pStyle w:val="TableParagraph"/>
                          <w:ind w:left="942" w:right="617"/>
                          <w:rPr>
                            <w:sz w:val="22"/>
                          </w:rPr>
                        </w:pPr>
                        <w:r>
                          <w:rPr>
                            <w:sz w:val="22"/>
                          </w:rPr>
                          <w:t>1,000 mg/day</w:t>
                        </w:r>
                      </w:p>
                    </w:tc>
                    <w:tc>
                      <w:tcPr>
                        <w:tcW w:w="2401" w:type="dxa"/>
                        <w:tcBorders>
                          <w:right w:val="single" w:sz="6" w:space="0" w:color="CAD2D6"/>
                        </w:tcBorders>
                        <w:shd w:val="clear" w:color="auto" w:fill="F6F6F6"/>
                      </w:tcPr>
                      <w:p>
                        <w:pPr>
                          <w:pStyle w:val="TableParagraph"/>
                          <w:ind w:left="617" w:right="501"/>
                          <w:rPr>
                            <w:sz w:val="22"/>
                          </w:rPr>
                        </w:pPr>
                        <w:r>
                          <w:rPr>
                            <w:sz w:val="22"/>
                          </w:rPr>
                          <w:t>1,300 mg/day</w:t>
                        </w:r>
                      </w:p>
                    </w:tc>
                  </w:tr>
                  <w:tr>
                    <w:trPr>
                      <w:trHeight w:val="410" w:hRule="exact"/>
                    </w:trPr>
                    <w:tc>
                      <w:tcPr>
                        <w:tcW w:w="1844" w:type="dxa"/>
                        <w:tcBorders>
                          <w:left w:val="single" w:sz="6" w:space="0" w:color="CAD2D6"/>
                          <w:bottom w:val="single" w:sz="4" w:space="0" w:color="000000"/>
                        </w:tcBorders>
                        <w:shd w:val="clear" w:color="auto" w:fill="F6F6F6"/>
                      </w:tcPr>
                      <w:p>
                        <w:pPr>
                          <w:pStyle w:val="TableParagraph"/>
                          <w:jc w:val="left"/>
                          <w:rPr>
                            <w:b/>
                            <w:sz w:val="22"/>
                          </w:rPr>
                        </w:pPr>
                        <w:r>
                          <w:rPr>
                            <w:b/>
                            <w:sz w:val="22"/>
                          </w:rPr>
                          <w:t>&gt;70</w:t>
                        </w:r>
                      </w:p>
                    </w:tc>
                    <w:tc>
                      <w:tcPr>
                        <w:tcW w:w="2836" w:type="dxa"/>
                        <w:tcBorders>
                          <w:bottom w:val="single" w:sz="4" w:space="0" w:color="000000"/>
                        </w:tcBorders>
                        <w:shd w:val="clear" w:color="auto" w:fill="F6F6F6"/>
                      </w:tcPr>
                      <w:p>
                        <w:pPr>
                          <w:pStyle w:val="TableParagraph"/>
                          <w:ind w:left="942" w:right="617"/>
                          <w:rPr>
                            <w:sz w:val="22"/>
                          </w:rPr>
                        </w:pPr>
                        <w:r>
                          <w:rPr>
                            <w:sz w:val="22"/>
                          </w:rPr>
                          <w:t>1,300 mg/day</w:t>
                        </w:r>
                      </w:p>
                    </w:tc>
                    <w:tc>
                      <w:tcPr>
                        <w:tcW w:w="2401" w:type="dxa"/>
                        <w:tcBorders>
                          <w:bottom w:val="single" w:sz="4" w:space="0" w:color="000000"/>
                          <w:right w:val="single" w:sz="6" w:space="0" w:color="CAD2D6"/>
                        </w:tcBorders>
                        <w:shd w:val="clear" w:color="auto" w:fill="F6F6F6"/>
                      </w:tcPr>
                      <w:p>
                        <w:pPr>
                          <w:pStyle w:val="TableParagraph"/>
                          <w:ind w:left="617" w:right="501"/>
                          <w:rPr>
                            <w:sz w:val="22"/>
                          </w:rPr>
                        </w:pPr>
                        <w:r>
                          <w:rPr>
                            <w:sz w:val="22"/>
                          </w:rPr>
                          <w:t>1,300 mg/day</w:t>
                        </w:r>
                      </w:p>
                    </w:tc>
                  </w:tr>
                  <w:tr>
                    <w:trPr>
                      <w:trHeight w:val="1207" w:hRule="exact"/>
                    </w:trPr>
                    <w:tc>
                      <w:tcPr>
                        <w:tcW w:w="7082" w:type="dxa"/>
                        <w:gridSpan w:val="3"/>
                        <w:tcBorders>
                          <w:top w:val="single" w:sz="4" w:space="0" w:color="000000"/>
                          <w:left w:val="single" w:sz="6" w:space="0" w:color="CAD2D6"/>
                          <w:bottom w:val="single" w:sz="6" w:space="0" w:color="CAD2D6"/>
                          <w:right w:val="single" w:sz="6" w:space="0" w:color="CAD2D6"/>
                        </w:tcBorders>
                        <w:shd w:val="clear" w:color="auto" w:fill="F6F6F6"/>
                      </w:tcPr>
                      <w:p>
                        <w:pPr>
                          <w:pStyle w:val="TableParagraph"/>
                          <w:spacing w:before="191"/>
                          <w:ind w:right="185"/>
                          <w:jc w:val="left"/>
                          <w:rPr>
                            <w:sz w:val="22"/>
                          </w:rPr>
                        </w:pPr>
                        <w:r>
                          <w:rPr>
                            <w:b/>
                            <w:color w:val="333333"/>
                            <w:sz w:val="22"/>
                          </w:rPr>
                          <w:t>Table 1 </w:t>
                        </w:r>
                        <w:r>
                          <w:rPr>
                            <w:sz w:val="22"/>
                          </w:rPr>
                          <w:t>Recommended Dietary Intake for calcium by age and gender for Australians</w:t>
                        </w:r>
                        <w:r>
                          <w:rPr>
                            <w:b/>
                            <w:sz w:val="22"/>
                          </w:rPr>
                          <w:t>. </w:t>
                        </w:r>
                        <w:r>
                          <w:rPr>
                            <w:sz w:val="22"/>
                          </w:rPr>
                          <w:t>The RDI is the average daily dietary intake level that is sufficient to meet the nutrient requirements of nearly all healthy individuals.</w:t>
                        </w:r>
                      </w:p>
                    </w:tc>
                  </w:tr>
                </w:tbl>
                <w:p>
                  <w:pPr>
                    <w:pStyle w:val="BodyText"/>
                  </w:pPr>
                </w:p>
              </w:txbxContent>
            </v:textbox>
            <w10:wrap type="none"/>
          </v:shape>
        </w:pict>
      </w:r>
      <w:r>
        <w:rPr/>
        <w:t>Table 1:</w:t>
      </w:r>
    </w:p>
    <w:sectPr>
      <w:pgSz w:w="12240" w:h="15840"/>
      <w:pgMar w:top="420" w:bottom="280" w:left="11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7" w:hanging="720"/>
        <w:jc w:val="left"/>
      </w:pPr>
      <w:rPr>
        <w:rFonts w:hint="default" w:ascii="Calibri" w:hAnsi="Calibri" w:eastAsia="Calibri" w:cs="Calibri"/>
        <w:w w:val="100"/>
        <w:sz w:val="22"/>
        <w:szCs w:val="22"/>
      </w:rPr>
    </w:lvl>
    <w:lvl w:ilvl="1">
      <w:start w:val="0"/>
      <w:numFmt w:val="bullet"/>
      <w:lvlText w:val="•"/>
      <w:lvlJc w:val="left"/>
      <w:pPr>
        <w:ind w:left="1758" w:hanging="720"/>
      </w:pPr>
      <w:rPr>
        <w:rFonts w:hint="default"/>
      </w:rPr>
    </w:lvl>
    <w:lvl w:ilvl="2">
      <w:start w:val="0"/>
      <w:numFmt w:val="bullet"/>
      <w:lvlText w:val="•"/>
      <w:lvlJc w:val="left"/>
      <w:pPr>
        <w:ind w:left="2676" w:hanging="720"/>
      </w:pPr>
      <w:rPr>
        <w:rFonts w:hint="default"/>
      </w:rPr>
    </w:lvl>
    <w:lvl w:ilvl="3">
      <w:start w:val="0"/>
      <w:numFmt w:val="bullet"/>
      <w:lvlText w:val="•"/>
      <w:lvlJc w:val="left"/>
      <w:pPr>
        <w:ind w:left="3594" w:hanging="720"/>
      </w:pPr>
      <w:rPr>
        <w:rFonts w:hint="default"/>
      </w:rPr>
    </w:lvl>
    <w:lvl w:ilvl="4">
      <w:start w:val="0"/>
      <w:numFmt w:val="bullet"/>
      <w:lvlText w:val="•"/>
      <w:lvlJc w:val="left"/>
      <w:pPr>
        <w:ind w:left="4512" w:hanging="720"/>
      </w:pPr>
      <w:rPr>
        <w:rFonts w:hint="default"/>
      </w:rPr>
    </w:lvl>
    <w:lvl w:ilvl="5">
      <w:start w:val="0"/>
      <w:numFmt w:val="bullet"/>
      <w:lvlText w:val="•"/>
      <w:lvlJc w:val="left"/>
      <w:pPr>
        <w:ind w:left="5430" w:hanging="720"/>
      </w:pPr>
      <w:rPr>
        <w:rFonts w:hint="default"/>
      </w:rPr>
    </w:lvl>
    <w:lvl w:ilvl="6">
      <w:start w:val="0"/>
      <w:numFmt w:val="bullet"/>
      <w:lvlText w:val="•"/>
      <w:lvlJc w:val="left"/>
      <w:pPr>
        <w:ind w:left="6348" w:hanging="720"/>
      </w:pPr>
      <w:rPr>
        <w:rFonts w:hint="default"/>
      </w:rPr>
    </w:lvl>
    <w:lvl w:ilvl="7">
      <w:start w:val="0"/>
      <w:numFmt w:val="bullet"/>
      <w:lvlText w:val="•"/>
      <w:lvlJc w:val="left"/>
      <w:pPr>
        <w:ind w:left="7266" w:hanging="720"/>
      </w:pPr>
      <w:rPr>
        <w:rFonts w:hint="default"/>
      </w:rPr>
    </w:lvl>
    <w:lvl w:ilvl="8">
      <w:start w:val="0"/>
      <w:numFmt w:val="bullet"/>
      <w:lvlText w:val="•"/>
      <w:lvlJc w:val="left"/>
      <w:pPr>
        <w:ind w:left="8184"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117"/>
      <w:outlineLvl w:val="1"/>
    </w:pPr>
    <w:rPr>
      <w:rFonts w:ascii="Calibri" w:hAnsi="Calibri" w:eastAsia="Calibri" w:cs="Calibri"/>
      <w:b/>
      <w:bCs/>
      <w:sz w:val="24"/>
      <w:szCs w:val="24"/>
    </w:rPr>
  </w:style>
  <w:style w:styleId="Heading2" w:type="paragraph">
    <w:name w:val="Heading 2"/>
    <w:basedOn w:val="Normal"/>
    <w:uiPriority w:val="1"/>
    <w:qFormat/>
    <w:pPr>
      <w:spacing w:before="33"/>
      <w:ind w:left="117"/>
      <w:outlineLvl w:val="2"/>
    </w:pPr>
    <w:rPr>
      <w:rFonts w:ascii="Calibri" w:hAnsi="Calibri" w:eastAsia="Calibri" w:cs="Calibri"/>
      <w:b/>
      <w:bCs/>
      <w:i/>
      <w:sz w:val="24"/>
      <w:szCs w:val="24"/>
    </w:rPr>
  </w:style>
  <w:style w:styleId="ListParagraph" w:type="paragraph">
    <w:name w:val="List Paragraph"/>
    <w:basedOn w:val="Normal"/>
    <w:uiPriority w:val="1"/>
    <w:qFormat/>
    <w:pPr>
      <w:ind w:left="837" w:right="116" w:hanging="720"/>
      <w:jc w:val="both"/>
    </w:pPr>
    <w:rPr>
      <w:rFonts w:ascii="Calibri" w:hAnsi="Calibri" w:eastAsia="Calibri" w:cs="Calibri"/>
    </w:rPr>
  </w:style>
  <w:style w:styleId="TableParagraph" w:type="paragraph">
    <w:name w:val="Table Paragraph"/>
    <w:basedOn w:val="Normal"/>
    <w:uiPriority w:val="1"/>
    <w:qFormat/>
    <w:pPr>
      <w:spacing w:before="59"/>
      <w:ind w:left="67"/>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osteoporosis.org.au/sites/default/files/files/calcium-food-table-web.pdf" TargetMode="External"/><Relationship Id="rId8" Type="http://schemas.openxmlformats.org/officeDocument/2006/relationships/hyperlink" Target="http://consultations.nhmrc.gov.au/open_public_consultations/dietary-guidelines" TargetMode="External"/><Relationship Id="rId9" Type="http://schemas.openxmlformats.org/officeDocument/2006/relationships/hyperlink" Target="http://www.health.gov.au/internet/main/publishing.nsf/content/02E10F68DB67D494CA257EB9001E518E/%24File/Vitamin%20D%20testing%20Review%20Report.pdf"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dcterms:created xsi:type="dcterms:W3CDTF">2018-12-06T17:13:32Z</dcterms:created>
  <dcterms:modified xsi:type="dcterms:W3CDTF">2018-12-06T17:13:32Z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Microsoft® Word 2013</vt:lpwstr>
  </property>
  <property fmtid="{D5CDD505-2E9C-101B-9397-08002B2CF9AE}" pid="4" name="LastSaved">
    <vt:filetime>2018-12-06T00:00:00Z</vt:filetime>
  </property>
</Properties>
</file>